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A739" w14:textId="1A75F686" w:rsidR="00796AAD" w:rsidRPr="00796AAD" w:rsidRDefault="00796AAD" w:rsidP="005823F2">
      <w:pPr>
        <w:spacing w:before="0" w:after="0" w:line="240" w:lineRule="auto"/>
        <w:jc w:val="center"/>
        <w:rPr>
          <w:b/>
          <w:bCs/>
          <w:sz w:val="32"/>
          <w:szCs w:val="32"/>
          <w:lang w:val="en-US"/>
        </w:rPr>
      </w:pPr>
      <w:r w:rsidRPr="00796AAD">
        <w:rPr>
          <w:b/>
          <w:bCs/>
          <w:color w:val="000000" w:themeColor="text1"/>
          <w:sz w:val="32"/>
          <w:szCs w:val="32"/>
        </w:rPr>
        <w:t xml:space="preserve">Non-Muslim Customer Switching </w:t>
      </w:r>
      <w:proofErr w:type="spellStart"/>
      <w:r w:rsidRPr="00796AAD">
        <w:rPr>
          <w:b/>
          <w:bCs/>
          <w:color w:val="000000" w:themeColor="text1"/>
          <w:sz w:val="32"/>
          <w:szCs w:val="32"/>
        </w:rPr>
        <w:t>Behavior</w:t>
      </w:r>
      <w:proofErr w:type="spellEnd"/>
      <w:r w:rsidRPr="00796AAD">
        <w:rPr>
          <w:b/>
          <w:bCs/>
          <w:color w:val="000000" w:themeColor="text1"/>
          <w:sz w:val="32"/>
          <w:szCs w:val="32"/>
        </w:rPr>
        <w:t xml:space="preserve"> In Islamic Bank In Indonesia</w:t>
      </w:r>
    </w:p>
    <w:p w14:paraId="43471760" w14:textId="77777777" w:rsidR="007E5C9C" w:rsidRPr="00796AAD" w:rsidRDefault="007E5C9C" w:rsidP="005823F2">
      <w:pPr>
        <w:spacing w:before="0" w:after="0" w:line="240" w:lineRule="auto"/>
        <w:jc w:val="center"/>
        <w:rPr>
          <w:b/>
          <w:bCs/>
          <w:sz w:val="32"/>
          <w:szCs w:val="32"/>
          <w:lang w:val="en-US"/>
        </w:rPr>
      </w:pPr>
    </w:p>
    <w:p w14:paraId="19588522" w14:textId="425BF50F" w:rsidR="007E5C9C" w:rsidRDefault="00796AAD" w:rsidP="005823F2">
      <w:pPr>
        <w:spacing w:before="0" w:after="0" w:line="240" w:lineRule="auto"/>
        <w:jc w:val="center"/>
        <w:rPr>
          <w:lang w:val="en-US"/>
        </w:rPr>
      </w:pPr>
      <w:r>
        <w:rPr>
          <w:lang w:val="en-US"/>
        </w:rPr>
        <w:t>HERMANITA and SUCI HAYATI</w:t>
      </w:r>
    </w:p>
    <w:p w14:paraId="73F83939" w14:textId="430B32B1" w:rsidR="007E5C9C" w:rsidRDefault="00796AAD" w:rsidP="005823F2">
      <w:pPr>
        <w:spacing w:before="0" w:after="0" w:line="240" w:lineRule="auto"/>
        <w:jc w:val="center"/>
        <w:rPr>
          <w:lang w:val="en-US"/>
        </w:rPr>
      </w:pPr>
      <w:r w:rsidRPr="00AC4166">
        <w:rPr>
          <w:bCs/>
          <w:color w:val="000000" w:themeColor="text1"/>
          <w:lang w:val="id-ID" w:eastAsia="zh-CN"/>
        </w:rPr>
        <w:t>Faculty of Economics and Islamic Business</w:t>
      </w:r>
    </w:p>
    <w:p w14:paraId="14B831AD" w14:textId="2494F378" w:rsidR="007E5C9C" w:rsidRDefault="00796AAD" w:rsidP="005823F2">
      <w:pPr>
        <w:spacing w:before="0" w:after="0" w:line="240" w:lineRule="auto"/>
        <w:jc w:val="center"/>
        <w:rPr>
          <w:lang w:val="en-US"/>
        </w:rPr>
      </w:pPr>
      <w:proofErr w:type="spellStart"/>
      <w:r>
        <w:rPr>
          <w:lang w:val="en-US"/>
        </w:rPr>
        <w:t>Institut</w:t>
      </w:r>
      <w:proofErr w:type="spellEnd"/>
      <w:r>
        <w:rPr>
          <w:lang w:val="en-US"/>
        </w:rPr>
        <w:t xml:space="preserve"> Agama Islam Negeri Metro</w:t>
      </w:r>
    </w:p>
    <w:p w14:paraId="795677F6" w14:textId="6C2BE251" w:rsidR="007E5C9C" w:rsidRDefault="00796AAD" w:rsidP="005823F2">
      <w:pPr>
        <w:spacing w:before="0" w:after="0" w:line="240" w:lineRule="auto"/>
        <w:jc w:val="center"/>
        <w:rPr>
          <w:lang w:val="en-US"/>
        </w:rPr>
      </w:pPr>
      <w:r>
        <w:rPr>
          <w:lang w:val="en-US"/>
        </w:rPr>
        <w:t xml:space="preserve">Jalan Ki Hajar </w:t>
      </w:r>
      <w:proofErr w:type="spellStart"/>
      <w:r>
        <w:rPr>
          <w:lang w:val="en-US"/>
        </w:rPr>
        <w:t>Dewantara</w:t>
      </w:r>
      <w:proofErr w:type="spellEnd"/>
      <w:r>
        <w:rPr>
          <w:lang w:val="en-US"/>
        </w:rPr>
        <w:t xml:space="preserve"> No. 15A, </w:t>
      </w:r>
      <w:proofErr w:type="spellStart"/>
      <w:r>
        <w:rPr>
          <w:lang w:val="en-US"/>
        </w:rPr>
        <w:t>Iringmulyo</w:t>
      </w:r>
      <w:proofErr w:type="spellEnd"/>
      <w:r>
        <w:rPr>
          <w:lang w:val="en-US"/>
        </w:rPr>
        <w:t>, Metro Timur, Lampung, Indonesia 34112</w:t>
      </w:r>
    </w:p>
    <w:p w14:paraId="05450877" w14:textId="55DCCD8D" w:rsidR="007E5C9C" w:rsidRDefault="00796AAD" w:rsidP="005823F2">
      <w:pPr>
        <w:spacing w:before="0" w:after="0" w:line="240" w:lineRule="auto"/>
        <w:jc w:val="center"/>
        <w:rPr>
          <w:lang w:val="en-US"/>
        </w:rPr>
      </w:pPr>
      <w:r>
        <w:rPr>
          <w:lang w:val="en-US"/>
        </w:rPr>
        <w:t>INDONESIA</w:t>
      </w:r>
    </w:p>
    <w:p w14:paraId="44626684" w14:textId="77777777" w:rsidR="007E5C9C" w:rsidRDefault="007E5C9C" w:rsidP="005823F2">
      <w:pPr>
        <w:spacing w:before="0" w:after="0" w:line="240" w:lineRule="auto"/>
        <w:jc w:val="left"/>
        <w:rPr>
          <w:sz w:val="22"/>
          <w:szCs w:val="22"/>
          <w:lang w:val="en-US"/>
        </w:rPr>
      </w:pPr>
    </w:p>
    <w:p w14:paraId="1BF06D8A" w14:textId="0AC2E856" w:rsidR="00796AAD" w:rsidRPr="00796AAD"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w:t>
      </w:r>
      <w:commentRangeStart w:id="0"/>
      <w:commentRangeStart w:id="1"/>
      <w:r>
        <w:rPr>
          <w:i/>
          <w:iCs/>
          <w:sz w:val="22"/>
          <w:szCs w:val="22"/>
          <w:lang w:val="en-US"/>
        </w:rPr>
        <w:t xml:space="preserve">- </w:t>
      </w:r>
      <w:r w:rsidR="005F1EB7" w:rsidRPr="005F1EB7">
        <w:rPr>
          <w:sz w:val="22"/>
          <w:szCs w:val="22"/>
          <w:highlight w:val="yellow"/>
          <w:lang w:val="en-US"/>
        </w:rPr>
        <w:t>The growth of Islamic banking in Indonesia has occurred significantly, one of which is in the Metro City area, Lampung Province, Indonesia. Many consumers have moved from conventional banks to Islamic banks, even this has happened to non-Muslim consumers.</w:t>
      </w:r>
      <w:r w:rsidR="005F1EB7" w:rsidRPr="005F1EB7">
        <w:rPr>
          <w:sz w:val="22"/>
          <w:szCs w:val="22"/>
          <w:lang w:val="en-US"/>
        </w:rPr>
        <w:t xml:space="preserve"> </w:t>
      </w:r>
      <w:r w:rsidR="00796AAD" w:rsidRPr="00796AAD">
        <w:rPr>
          <w:color w:val="000000" w:themeColor="text1"/>
          <w:sz w:val="22"/>
          <w:szCs w:val="22"/>
        </w:rPr>
        <w:t xml:space="preserve">This study aims to describe the factors that influence the </w:t>
      </w:r>
      <w:proofErr w:type="spellStart"/>
      <w:r w:rsidR="00796AAD" w:rsidRPr="00796AAD">
        <w:rPr>
          <w:color w:val="000000" w:themeColor="text1"/>
          <w:sz w:val="22"/>
          <w:szCs w:val="22"/>
        </w:rPr>
        <w:t>behavior</w:t>
      </w:r>
      <w:proofErr w:type="spellEnd"/>
      <w:r w:rsidR="00796AAD" w:rsidRPr="00796AAD">
        <w:rPr>
          <w:color w:val="000000" w:themeColor="text1"/>
          <w:sz w:val="22"/>
          <w:szCs w:val="22"/>
        </w:rPr>
        <w:t xml:space="preserve"> of non-Muslim consumers in Metro City, Lampung Province, Indonesia</w:t>
      </w:r>
      <w:r w:rsidR="00796AAD" w:rsidRPr="00796AAD">
        <w:rPr>
          <w:color w:val="000000" w:themeColor="text1"/>
          <w:sz w:val="22"/>
          <w:szCs w:val="22"/>
          <w:lang w:val="id-ID"/>
        </w:rPr>
        <w:t>,</w:t>
      </w:r>
      <w:r w:rsidR="00796AAD" w:rsidRPr="00796AAD">
        <w:rPr>
          <w:color w:val="000000" w:themeColor="text1"/>
          <w:sz w:val="22"/>
          <w:szCs w:val="22"/>
        </w:rPr>
        <w:t xml:space="preserve"> when choosing Islamic banking services over conventional banks.</w:t>
      </w:r>
      <w:r w:rsidR="00796AAD" w:rsidRPr="00796AAD">
        <w:rPr>
          <w:color w:val="000000" w:themeColor="text1"/>
          <w:sz w:val="22"/>
          <w:szCs w:val="22"/>
          <w:lang w:val="id-ID"/>
        </w:rPr>
        <w:t xml:space="preserve"> This is because the understanding of non-Muslim customer switching behavior is very important, especially for Islamic banking, where the application of religious principles is contained therein.</w:t>
      </w:r>
      <w:r w:rsidR="00796AAD" w:rsidRPr="00796AAD">
        <w:rPr>
          <w:color w:val="000000" w:themeColor="text1"/>
          <w:sz w:val="22"/>
          <w:szCs w:val="22"/>
        </w:rPr>
        <w:t xml:space="preserve"> This research was conducted using a mixed method with quantitative and qualitative approaches. Data collection was carried out by filling out questionnaires and interviewing 40 non-Muslim customers who became customers at Islamic Bank. </w:t>
      </w:r>
      <w:r w:rsidR="00AA658A" w:rsidRPr="00AA658A">
        <w:rPr>
          <w:color w:val="000000" w:themeColor="text1"/>
          <w:sz w:val="22"/>
          <w:szCs w:val="22"/>
          <w:highlight w:val="yellow"/>
        </w:rPr>
        <w:t xml:space="preserve">Furthermore, the data were </w:t>
      </w:r>
      <w:proofErr w:type="spellStart"/>
      <w:r w:rsidR="00AA658A" w:rsidRPr="00AA658A">
        <w:rPr>
          <w:color w:val="000000" w:themeColor="text1"/>
          <w:sz w:val="22"/>
          <w:szCs w:val="22"/>
          <w:highlight w:val="yellow"/>
        </w:rPr>
        <w:t>analyzed</w:t>
      </w:r>
      <w:proofErr w:type="spellEnd"/>
      <w:r w:rsidR="00AA658A" w:rsidRPr="00AA658A">
        <w:rPr>
          <w:color w:val="000000" w:themeColor="text1"/>
          <w:sz w:val="22"/>
          <w:szCs w:val="22"/>
          <w:highlight w:val="yellow"/>
        </w:rPr>
        <w:t xml:space="preserve"> statistically </w:t>
      </w:r>
      <w:commentRangeStart w:id="2"/>
      <w:commentRangeStart w:id="3"/>
      <w:r w:rsidR="00AA658A" w:rsidRPr="00AA658A">
        <w:rPr>
          <w:color w:val="000000" w:themeColor="text1"/>
          <w:sz w:val="22"/>
          <w:szCs w:val="22"/>
          <w:highlight w:val="yellow"/>
        </w:rPr>
        <w:t>using</w:t>
      </w:r>
      <w:commentRangeEnd w:id="2"/>
      <w:r w:rsidR="001443A4">
        <w:rPr>
          <w:rStyle w:val="CommentReference"/>
        </w:rPr>
        <w:commentReference w:id="2"/>
      </w:r>
      <w:commentRangeEnd w:id="3"/>
      <w:r w:rsidR="001443A4">
        <w:rPr>
          <w:rStyle w:val="CommentReference"/>
        </w:rPr>
        <w:commentReference w:id="3"/>
      </w:r>
      <w:r w:rsidR="00AA658A" w:rsidRPr="00AA658A">
        <w:rPr>
          <w:color w:val="000000" w:themeColor="text1"/>
          <w:sz w:val="22"/>
          <w:szCs w:val="22"/>
          <w:highlight w:val="yellow"/>
        </w:rPr>
        <w:t xml:space="preserve"> ANOVA test and Post Hoc Test to see the influence of the factors that gave the most significant influence.</w:t>
      </w:r>
      <w:r w:rsidR="00AA658A">
        <w:rPr>
          <w:color w:val="000000" w:themeColor="text1"/>
          <w:sz w:val="22"/>
          <w:szCs w:val="22"/>
        </w:rPr>
        <w:t xml:space="preserve"> </w:t>
      </w:r>
      <w:commentRangeEnd w:id="0"/>
      <w:r w:rsidR="001443A4">
        <w:rPr>
          <w:rStyle w:val="CommentReference"/>
        </w:rPr>
        <w:commentReference w:id="0"/>
      </w:r>
      <w:commentRangeEnd w:id="1"/>
      <w:r w:rsidR="001443A4">
        <w:rPr>
          <w:rStyle w:val="CommentReference"/>
        </w:rPr>
        <w:commentReference w:id="1"/>
      </w:r>
      <w:r w:rsidR="00796AAD" w:rsidRPr="00796AAD">
        <w:rPr>
          <w:color w:val="000000" w:themeColor="text1"/>
          <w:sz w:val="22"/>
          <w:szCs w:val="22"/>
        </w:rPr>
        <w:t>The results of this study indicate that the factors of price, reputation, service quality, promotion, product, location, profit, coercion, and recommendations from other customers have a significant effect on non-Muslim customers to switch to services to Islamic banks with a significance value of 0.000 at ANOVA test. Of the nine factors, recommendation factors from other customers (whether friends, relatives, or family), price, and profit are the most influencing factors.</w:t>
      </w:r>
    </w:p>
    <w:p w14:paraId="2DD4E540" w14:textId="77777777" w:rsidR="00796AAD" w:rsidRDefault="00796AAD" w:rsidP="005823F2">
      <w:pPr>
        <w:autoSpaceDE w:val="0"/>
        <w:autoSpaceDN w:val="0"/>
        <w:adjustRightInd w:val="0"/>
        <w:spacing w:before="0" w:after="0" w:line="240" w:lineRule="auto"/>
        <w:rPr>
          <w:rFonts w:ascii="TimesNewRoman" w:hAnsi="TimesNewRoman" w:cs="TimesNewRoman"/>
          <w:sz w:val="22"/>
          <w:szCs w:val="22"/>
          <w:lang w:val="en-US"/>
        </w:rPr>
      </w:pPr>
    </w:p>
    <w:p w14:paraId="55E3DF9C" w14:textId="3381B610" w:rsidR="00796AAD" w:rsidRPr="00796AAD" w:rsidRDefault="0025437E" w:rsidP="005823F2">
      <w:pPr>
        <w:pStyle w:val="BodyText"/>
        <w:spacing w:before="0" w:after="0" w:line="240" w:lineRule="auto"/>
        <w:rPr>
          <w:sz w:val="22"/>
          <w:szCs w:val="22"/>
        </w:rPr>
      </w:pPr>
      <w:r>
        <w:rPr>
          <w:i/>
          <w:iCs/>
          <w:sz w:val="22"/>
          <w:szCs w:val="22"/>
        </w:rPr>
        <w:t>Key-Words: -</w:t>
      </w:r>
      <w:r>
        <w:rPr>
          <w:b/>
          <w:bCs/>
          <w:sz w:val="22"/>
          <w:szCs w:val="22"/>
        </w:rPr>
        <w:t xml:space="preserve"> </w:t>
      </w:r>
      <w:commentRangeStart w:id="4"/>
      <w:commentRangeStart w:id="5"/>
      <w:r w:rsidR="005F1EB7" w:rsidRPr="005F1EB7">
        <w:rPr>
          <w:i/>
          <w:iCs/>
          <w:sz w:val="22"/>
          <w:szCs w:val="22"/>
          <w:highlight w:val="yellow"/>
          <w:lang w:val="id-ID"/>
        </w:rPr>
        <w:t>Switching Behavior Factors</w:t>
      </w:r>
      <w:r w:rsidR="00796AAD" w:rsidRPr="00796AAD">
        <w:rPr>
          <w:i/>
          <w:iCs/>
          <w:sz w:val="22"/>
          <w:szCs w:val="22"/>
          <w:lang w:val="id-ID"/>
        </w:rPr>
        <w:t>, Non-Muslim Customer, Islamic Bank</w:t>
      </w:r>
      <w:commentRangeEnd w:id="4"/>
      <w:r w:rsidR="001443A4">
        <w:rPr>
          <w:rStyle w:val="CommentReference"/>
          <w:lang w:val="en-GB"/>
        </w:rPr>
        <w:commentReference w:id="4"/>
      </w:r>
      <w:commentRangeEnd w:id="5"/>
      <w:r w:rsidR="001443A4">
        <w:rPr>
          <w:rStyle w:val="CommentReference"/>
          <w:lang w:val="en-GB"/>
        </w:rPr>
        <w:commentReference w:id="5"/>
      </w:r>
    </w:p>
    <w:p w14:paraId="73B8BB48" w14:textId="77777777" w:rsidR="002F5C2C" w:rsidRDefault="002F5C2C" w:rsidP="002F5C2C">
      <w:pPr>
        <w:rPr>
          <w:sz w:val="22"/>
          <w:szCs w:val="22"/>
        </w:rPr>
      </w:pPr>
      <w:r>
        <w:rPr>
          <w:sz w:val="22"/>
          <w:szCs w:val="22"/>
        </w:rPr>
        <w:t>Received: May 31, 2019.</w:t>
      </w:r>
      <w:r w:rsidR="00337C49">
        <w:rPr>
          <w:sz w:val="22"/>
          <w:szCs w:val="22"/>
        </w:rPr>
        <w:t xml:space="preserve"> </w:t>
      </w:r>
      <w:r>
        <w:rPr>
          <w:sz w:val="22"/>
          <w:szCs w:val="22"/>
        </w:rPr>
        <w:t xml:space="preserve"> Revised</w:t>
      </w:r>
      <w:r w:rsidR="00D6468B">
        <w:rPr>
          <w:sz w:val="22"/>
          <w:szCs w:val="22"/>
        </w:rPr>
        <w:t>:</w:t>
      </w:r>
      <w:r>
        <w:rPr>
          <w:sz w:val="22"/>
          <w:szCs w:val="22"/>
        </w:rPr>
        <w:t xml:space="preserve"> May </w:t>
      </w:r>
      <w:r w:rsidR="00337C49">
        <w:rPr>
          <w:sz w:val="22"/>
          <w:szCs w:val="22"/>
        </w:rPr>
        <w:t>4</w:t>
      </w:r>
      <w:r>
        <w:rPr>
          <w:sz w:val="22"/>
          <w:szCs w:val="22"/>
        </w:rPr>
        <w:t>, 2020.  Accepted</w:t>
      </w:r>
      <w:r w:rsidR="00D6468B">
        <w:rPr>
          <w:sz w:val="22"/>
          <w:szCs w:val="22"/>
        </w:rPr>
        <w:t>:</w:t>
      </w:r>
      <w:r>
        <w:rPr>
          <w:sz w:val="22"/>
          <w:szCs w:val="22"/>
        </w:rPr>
        <w:t xml:space="preserve"> May </w:t>
      </w:r>
      <w:r w:rsidR="00337C49">
        <w:rPr>
          <w:sz w:val="22"/>
          <w:szCs w:val="22"/>
        </w:rPr>
        <w:t>22</w:t>
      </w:r>
      <w:r>
        <w:rPr>
          <w:sz w:val="22"/>
          <w:szCs w:val="22"/>
        </w:rPr>
        <w:t>, 20</w:t>
      </w:r>
      <w:r w:rsidR="006C13FF">
        <w:rPr>
          <w:sz w:val="22"/>
          <w:szCs w:val="22"/>
        </w:rPr>
        <w:t>20</w:t>
      </w:r>
      <w:r w:rsidR="00337C49">
        <w:rPr>
          <w:sz w:val="22"/>
          <w:szCs w:val="22"/>
        </w:rPr>
        <w:t>.  Published</w:t>
      </w:r>
      <w:r w:rsidR="00963372">
        <w:rPr>
          <w:sz w:val="22"/>
          <w:szCs w:val="22"/>
        </w:rPr>
        <w:t>:</w:t>
      </w:r>
      <w:r w:rsidR="00337C49">
        <w:rPr>
          <w:sz w:val="22"/>
          <w:szCs w:val="22"/>
        </w:rPr>
        <w:t xml:space="preserve"> May 29, 2020</w:t>
      </w:r>
      <w:r>
        <w:rPr>
          <w:sz w:val="22"/>
          <w:szCs w:val="22"/>
        </w:rPr>
        <w:t xml:space="preserve">  </w:t>
      </w:r>
      <w:r>
        <w:rPr>
          <w:sz w:val="22"/>
          <w:szCs w:val="22"/>
        </w:rPr>
        <w:br/>
      </w:r>
      <w:r w:rsidRPr="002F5C2C">
        <w:rPr>
          <w:color w:val="FF0000"/>
          <w:sz w:val="22"/>
          <w:szCs w:val="22"/>
        </w:rPr>
        <w:t>(</w:t>
      </w:r>
      <w:r w:rsidR="00F63E04">
        <w:rPr>
          <w:color w:val="FF0000"/>
          <w:sz w:val="22"/>
          <w:szCs w:val="22"/>
        </w:rPr>
        <w:t xml:space="preserve">WSEAS will fill </w:t>
      </w:r>
      <w:r w:rsidR="00657210">
        <w:rPr>
          <w:color w:val="FF0000"/>
          <w:sz w:val="22"/>
          <w:szCs w:val="22"/>
        </w:rPr>
        <w:t>these</w:t>
      </w:r>
      <w:r w:rsidR="00F63E04">
        <w:rPr>
          <w:color w:val="FF0000"/>
          <w:sz w:val="22"/>
          <w:szCs w:val="22"/>
        </w:rPr>
        <w:t xml:space="preserve"> dates in case of final acceptance, following strictly our data base and possible email communication).</w:t>
      </w:r>
    </w:p>
    <w:p w14:paraId="10F5AD4C" w14:textId="77777777" w:rsidR="007E5C9C" w:rsidRDefault="007E5C9C" w:rsidP="005823F2">
      <w:pPr>
        <w:pStyle w:val="Heading6"/>
        <w:spacing w:before="0" w:after="0" w:line="240" w:lineRule="auto"/>
        <w:rPr>
          <w:b w:val="0"/>
          <w:bCs w:val="0"/>
          <w:sz w:val="22"/>
          <w:szCs w:val="22"/>
          <w:lang w:val="en-GB"/>
        </w:rPr>
      </w:pPr>
    </w:p>
    <w:p w14:paraId="3C060511" w14:textId="77777777"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14:paraId="4DFD2974" w14:textId="77777777" w:rsidR="007E5C9C" w:rsidRDefault="0025437E" w:rsidP="005823F2">
      <w:pPr>
        <w:tabs>
          <w:tab w:val="left" w:pos="284"/>
        </w:tabs>
        <w:spacing w:before="0" w:after="0" w:line="240" w:lineRule="auto"/>
        <w:rPr>
          <w:b/>
          <w:bCs/>
          <w:sz w:val="28"/>
          <w:szCs w:val="28"/>
          <w:lang w:val="en-US"/>
        </w:rPr>
      </w:pPr>
      <w:r>
        <w:rPr>
          <w:b/>
          <w:bCs/>
          <w:sz w:val="28"/>
          <w:szCs w:val="28"/>
          <w:lang w:val="en-US"/>
        </w:rPr>
        <w:t>1</w:t>
      </w:r>
      <w:r>
        <w:rPr>
          <w:b/>
          <w:bCs/>
          <w:sz w:val="28"/>
          <w:szCs w:val="28"/>
          <w:lang w:val="en-US"/>
        </w:rPr>
        <w:tab/>
        <w:t>Introduction</w:t>
      </w:r>
    </w:p>
    <w:p w14:paraId="576DE199" w14:textId="43AE5B48" w:rsidR="00FB5A8D" w:rsidRDefault="00796AAD" w:rsidP="00FB5A8D">
      <w:pPr>
        <w:pStyle w:val="BodyTextIndent2"/>
        <w:tabs>
          <w:tab w:val="clear" w:pos="4678"/>
        </w:tabs>
        <w:spacing w:after="0" w:line="240" w:lineRule="auto"/>
        <w:rPr>
          <w:color w:val="000000" w:themeColor="text1"/>
          <w:lang w:val="id-ID"/>
        </w:rPr>
      </w:pPr>
      <w:r w:rsidRPr="00EA509A">
        <w:rPr>
          <w:color w:val="000000" w:themeColor="text1"/>
        </w:rPr>
        <w:t xml:space="preserve">Financial services are companies that are a core part of people's lives. Various types of banking companies have sprung up, both those adopting conventional and Islamic systems. Over time, Islamic banking in Indonesia has developed very rapidly with the increasing number of offices it has. </w:t>
      </w:r>
      <w:r w:rsidR="00D02115" w:rsidRPr="00D02115">
        <w:rPr>
          <w:color w:val="000000" w:themeColor="text1"/>
        </w:rPr>
        <w:t>Even with the innovations that have been carried out by Islamic banks, they have succeeded in generating interest from millennial category customers</w:t>
      </w:r>
      <w:r w:rsidR="004B075B">
        <w:rPr>
          <w:color w:val="000000" w:themeColor="text1"/>
        </w:rPr>
        <w:t xml:space="preserve"> [1]</w:t>
      </w:r>
      <w:r w:rsidR="00D02115">
        <w:rPr>
          <w:color w:val="000000" w:themeColor="text1"/>
        </w:rPr>
        <w:t xml:space="preserve">. </w:t>
      </w:r>
      <w:r w:rsidRPr="00EA509A">
        <w:rPr>
          <w:color w:val="000000" w:themeColor="text1"/>
          <w:lang w:val="id-ID"/>
        </w:rPr>
        <w:t xml:space="preserve">In addition, Islamic banks also have a good level of stability, and even have the opportunity to be more stable </w:t>
      </w:r>
      <w:r w:rsidR="00C70AD2">
        <w:rPr>
          <w:color w:val="000000" w:themeColor="text1"/>
          <w:lang w:val="en-US"/>
        </w:rPr>
        <w:t>[2]</w:t>
      </w:r>
      <w:r w:rsidRPr="00EA509A">
        <w:rPr>
          <w:color w:val="000000" w:themeColor="text1"/>
          <w:lang w:val="id-ID"/>
        </w:rPr>
        <w:t xml:space="preserve">. </w:t>
      </w:r>
      <w:r w:rsidRPr="00EA509A">
        <w:rPr>
          <w:color w:val="000000" w:themeColor="text1"/>
        </w:rPr>
        <w:t>Based on the Financial Services Authority's report on Islamic banking statistics, it can be seen that in 2009-2015 the number of</w:t>
      </w:r>
      <w:r w:rsidRPr="00EA509A">
        <w:rPr>
          <w:color w:val="000000" w:themeColor="text1"/>
          <w:lang w:val="id-ID"/>
        </w:rPr>
        <w:t xml:space="preserve"> </w:t>
      </w:r>
      <w:r w:rsidRPr="00EA509A">
        <w:rPr>
          <w:color w:val="000000" w:themeColor="text1"/>
        </w:rPr>
        <w:t xml:space="preserve">Islamic Commercial Bank offices experienced a very significant increase. Even so, it turns out that the level of effectiveness is not much different from conventional banks </w:t>
      </w:r>
      <w:r w:rsidR="00C70AD2">
        <w:rPr>
          <w:color w:val="000000" w:themeColor="text1"/>
        </w:rPr>
        <w:t>[3]</w:t>
      </w:r>
      <w:r w:rsidRPr="00EA509A">
        <w:rPr>
          <w:color w:val="000000" w:themeColor="text1"/>
        </w:rPr>
        <w:t xml:space="preserve">. The number of sharia banking offices in general has increased, the number of offices in 2009 still reached 1,223 offices, </w:t>
      </w:r>
      <w:r w:rsidRPr="00EA509A">
        <w:rPr>
          <w:color w:val="000000" w:themeColor="text1"/>
        </w:rPr>
        <w:t>however at the end of 2015 it had reached 2,881 offices.</w:t>
      </w:r>
    </w:p>
    <w:p w14:paraId="712F6A3A" w14:textId="626CD4A0" w:rsidR="00FB5A8D" w:rsidRDefault="00796AAD" w:rsidP="00FB5A8D">
      <w:pPr>
        <w:pStyle w:val="BodyTextIndent2"/>
        <w:tabs>
          <w:tab w:val="clear" w:pos="4678"/>
        </w:tabs>
        <w:spacing w:after="0" w:line="240" w:lineRule="auto"/>
        <w:rPr>
          <w:color w:val="000000" w:themeColor="text1"/>
          <w:lang w:val="id-ID"/>
        </w:rPr>
      </w:pPr>
      <w:r w:rsidRPr="00EA509A">
        <w:rPr>
          <w:color w:val="000000" w:themeColor="text1"/>
        </w:rPr>
        <w:t xml:space="preserve">The very rapid development of Islamic banking is also felt by people in Metro City, Lampung Province, Indonesia. There have been many Islamic financial institutions, both Sharia Banking and Baitul Mal Wat </w:t>
      </w:r>
      <w:proofErr w:type="spellStart"/>
      <w:r w:rsidRPr="00EA509A">
        <w:rPr>
          <w:color w:val="000000" w:themeColor="text1"/>
        </w:rPr>
        <w:t>Tamwil</w:t>
      </w:r>
      <w:proofErr w:type="spellEnd"/>
      <w:r w:rsidRPr="00EA509A">
        <w:rPr>
          <w:color w:val="000000" w:themeColor="text1"/>
        </w:rPr>
        <w:t xml:space="preserve"> or the Sharia Financial Services Cooperative. According to Central Bureau of Statistics data, this city has an area of ​​68.74 km</w:t>
      </w:r>
      <w:r w:rsidRPr="00EA509A">
        <w:rPr>
          <w:color w:val="000000" w:themeColor="text1"/>
          <w:vertAlign w:val="superscript"/>
        </w:rPr>
        <w:t>2</w:t>
      </w:r>
      <w:r w:rsidRPr="00EA509A">
        <w:rPr>
          <w:color w:val="000000" w:themeColor="text1"/>
        </w:rPr>
        <w:t xml:space="preserve"> which is divided into five sub-districts with a population of 155,992 people. The Muslim population in Metro City reaches 136,692 people, while the non-Muslim population is 8,629, so the percentage of non-Muslim residents in Metro</w:t>
      </w:r>
      <w:r w:rsidRPr="00EA509A">
        <w:rPr>
          <w:color w:val="000000" w:themeColor="text1"/>
          <w:lang w:val="id-ID"/>
        </w:rPr>
        <w:t xml:space="preserve"> City</w:t>
      </w:r>
      <w:r w:rsidRPr="00EA509A">
        <w:rPr>
          <w:color w:val="000000" w:themeColor="text1"/>
        </w:rPr>
        <w:t xml:space="preserve"> is 5.9%. The development of Islamic banking shows the positive enthusiasm of the community.</w:t>
      </w:r>
      <w:r w:rsidRPr="00EA509A">
        <w:rPr>
          <w:color w:val="000000" w:themeColor="text1"/>
          <w:lang w:val="id-ID"/>
        </w:rPr>
        <w:t xml:space="preserve"> </w:t>
      </w:r>
      <w:r w:rsidRPr="00EA509A">
        <w:rPr>
          <w:color w:val="000000" w:themeColor="text1"/>
        </w:rPr>
        <w:t xml:space="preserve">One of the well-developed Islamic banks is Bank Syariah </w:t>
      </w:r>
      <w:proofErr w:type="spellStart"/>
      <w:r w:rsidRPr="00EA509A">
        <w:rPr>
          <w:color w:val="000000" w:themeColor="text1"/>
        </w:rPr>
        <w:t>Mandiri</w:t>
      </w:r>
      <w:proofErr w:type="spellEnd"/>
      <w:r w:rsidRPr="00EA509A">
        <w:rPr>
          <w:color w:val="000000" w:themeColor="text1"/>
        </w:rPr>
        <w:t xml:space="preserve">. Bank Syariah </w:t>
      </w:r>
      <w:proofErr w:type="spellStart"/>
      <w:r w:rsidRPr="00EA509A">
        <w:rPr>
          <w:color w:val="000000" w:themeColor="text1"/>
        </w:rPr>
        <w:t>Mandiri</w:t>
      </w:r>
      <w:proofErr w:type="spellEnd"/>
      <w:r w:rsidRPr="00EA509A">
        <w:rPr>
          <w:color w:val="000000" w:themeColor="text1"/>
        </w:rPr>
        <w:t xml:space="preserve"> is a sharia commercial bank that has changed its function from a conventional bank to a sharia bank. Bank Syariah </w:t>
      </w:r>
      <w:proofErr w:type="spellStart"/>
      <w:r w:rsidRPr="00EA509A">
        <w:rPr>
          <w:color w:val="000000" w:themeColor="text1"/>
        </w:rPr>
        <w:t>Mandiri</w:t>
      </w:r>
      <w:proofErr w:type="spellEnd"/>
      <w:r w:rsidRPr="00EA509A">
        <w:rPr>
          <w:color w:val="000000" w:themeColor="text1"/>
        </w:rPr>
        <w:t xml:space="preserve"> was founded in 1999. Meanwhile, in Metro </w:t>
      </w:r>
      <w:r w:rsidRPr="00EA509A">
        <w:rPr>
          <w:color w:val="000000" w:themeColor="text1"/>
        </w:rPr>
        <w:lastRenderedPageBreak/>
        <w:t xml:space="preserve">City, Lampung Province, Indonesia, Bank Syariah </w:t>
      </w:r>
      <w:proofErr w:type="spellStart"/>
      <w:r w:rsidRPr="00EA509A">
        <w:rPr>
          <w:color w:val="000000" w:themeColor="text1"/>
        </w:rPr>
        <w:t>Mandiri</w:t>
      </w:r>
      <w:proofErr w:type="spellEnd"/>
      <w:r w:rsidRPr="00EA509A">
        <w:rPr>
          <w:color w:val="000000" w:themeColor="text1"/>
        </w:rPr>
        <w:t xml:space="preserve"> was established on October 24, 2005, which is located in the center of Metro city. Bank Syariah </w:t>
      </w:r>
      <w:proofErr w:type="spellStart"/>
      <w:r w:rsidRPr="00EA509A">
        <w:rPr>
          <w:color w:val="000000" w:themeColor="text1"/>
        </w:rPr>
        <w:t>Mandiri</w:t>
      </w:r>
      <w:proofErr w:type="spellEnd"/>
      <w:r w:rsidRPr="00EA509A">
        <w:rPr>
          <w:color w:val="000000" w:themeColor="text1"/>
        </w:rPr>
        <w:t xml:space="preserve"> besides having Muslim customers also has quite a lot of non-Muslim customers </w:t>
      </w:r>
      <w:r w:rsidR="00C70AD2">
        <w:rPr>
          <w:color w:val="000000" w:themeColor="text1"/>
        </w:rPr>
        <w:t>[4]</w:t>
      </w:r>
      <w:r w:rsidRPr="00EA509A">
        <w:rPr>
          <w:color w:val="000000" w:themeColor="text1"/>
        </w:rPr>
        <w:t>.</w:t>
      </w:r>
    </w:p>
    <w:p w14:paraId="6DAC7A76" w14:textId="2A2F0871" w:rsidR="00796AAD" w:rsidRPr="00FB5A8D" w:rsidRDefault="00796AAD" w:rsidP="00FB5A8D">
      <w:pPr>
        <w:pStyle w:val="BodyTextIndent2"/>
        <w:tabs>
          <w:tab w:val="clear" w:pos="4678"/>
        </w:tabs>
        <w:spacing w:after="0" w:line="240" w:lineRule="auto"/>
        <w:rPr>
          <w:color w:val="000000" w:themeColor="text1"/>
          <w:lang w:val="id-ID"/>
        </w:rPr>
      </w:pPr>
      <w:r w:rsidRPr="00EA509A">
        <w:rPr>
          <w:color w:val="000000" w:themeColor="text1"/>
        </w:rPr>
        <w:t xml:space="preserve">An interesting thing to note is when we find the many phenomena of non-Muslim people who have switched banking services from conventional to Islamic banks (switching </w:t>
      </w:r>
      <w:proofErr w:type="spellStart"/>
      <w:r w:rsidRPr="00EA509A">
        <w:rPr>
          <w:color w:val="000000" w:themeColor="text1"/>
        </w:rPr>
        <w:t>behavior</w:t>
      </w:r>
      <w:proofErr w:type="spellEnd"/>
      <w:r w:rsidRPr="00EA509A">
        <w:rPr>
          <w:color w:val="000000" w:themeColor="text1"/>
        </w:rPr>
        <w:t xml:space="preserve">). In fact, services at this bank are carried out based on Islamic concepts. So that there are differences in religious principles in the process. The phenomenon of the movement of non-Muslim customers to Islamic banking services is something that needs to be studied in depth. The research was conducted to examine in depth the factors that influence the </w:t>
      </w:r>
      <w:proofErr w:type="spellStart"/>
      <w:r w:rsidRPr="00EA509A">
        <w:rPr>
          <w:color w:val="000000" w:themeColor="text1"/>
        </w:rPr>
        <w:t>behavior</w:t>
      </w:r>
      <w:proofErr w:type="spellEnd"/>
      <w:r w:rsidRPr="00EA509A">
        <w:rPr>
          <w:color w:val="000000" w:themeColor="text1"/>
        </w:rPr>
        <w:t xml:space="preserve"> of shifting consumers from conventional bank services to Islamic banks.</w:t>
      </w:r>
      <w:r w:rsidR="00CE0E83">
        <w:rPr>
          <w:color w:val="000000" w:themeColor="text1"/>
        </w:rPr>
        <w:t xml:space="preserve"> </w:t>
      </w:r>
      <w:commentRangeStart w:id="6"/>
      <w:commentRangeStart w:id="7"/>
      <w:r w:rsidR="00CE0E83" w:rsidRPr="00CE0E83">
        <w:rPr>
          <w:color w:val="000000" w:themeColor="text1"/>
          <w:highlight w:val="yellow"/>
        </w:rPr>
        <w:t>Based on the above, the results of this study can be used as a description of information for Islamic banking in the development process, especially in terms of attracting prospective non-Muslim customers. So that Islamic banking has information related to things that need to be more focused on developing more effective and efficient services.</w:t>
      </w:r>
      <w:commentRangeEnd w:id="6"/>
      <w:r w:rsidR="00686FF3">
        <w:rPr>
          <w:rStyle w:val="CommentReference"/>
        </w:rPr>
        <w:commentReference w:id="6"/>
      </w:r>
      <w:commentRangeEnd w:id="7"/>
      <w:r w:rsidR="00686FF3">
        <w:rPr>
          <w:rStyle w:val="CommentReference"/>
        </w:rPr>
        <w:commentReference w:id="7"/>
      </w:r>
    </w:p>
    <w:p w14:paraId="6271B9FA" w14:textId="77777777" w:rsidR="007E5C9C" w:rsidRDefault="007E5C9C" w:rsidP="005823F2">
      <w:pPr>
        <w:spacing w:before="0" w:after="0" w:line="240" w:lineRule="auto"/>
        <w:rPr>
          <w:i/>
          <w:iCs/>
          <w:sz w:val="22"/>
          <w:szCs w:val="22"/>
          <w:lang w:val="en-US"/>
        </w:rPr>
      </w:pPr>
    </w:p>
    <w:p w14:paraId="3FF88F2D" w14:textId="296D49E1" w:rsidR="007E5C9C" w:rsidRDefault="0025437E" w:rsidP="005823F2">
      <w:pPr>
        <w:tabs>
          <w:tab w:val="left" w:pos="284"/>
        </w:tabs>
        <w:spacing w:before="0" w:after="0" w:line="240" w:lineRule="auto"/>
        <w:rPr>
          <w:b/>
          <w:bCs/>
          <w:sz w:val="28"/>
          <w:szCs w:val="28"/>
          <w:lang w:val="en-US"/>
        </w:rPr>
      </w:pPr>
      <w:r>
        <w:rPr>
          <w:b/>
          <w:bCs/>
          <w:sz w:val="28"/>
          <w:szCs w:val="28"/>
          <w:lang w:val="en-US"/>
        </w:rPr>
        <w:t>2</w:t>
      </w:r>
      <w:r>
        <w:rPr>
          <w:b/>
          <w:bCs/>
          <w:sz w:val="28"/>
          <w:szCs w:val="28"/>
          <w:lang w:val="en-US"/>
        </w:rPr>
        <w:tab/>
      </w:r>
      <w:r w:rsidR="00FB5A8D">
        <w:rPr>
          <w:b/>
          <w:bCs/>
          <w:sz w:val="28"/>
          <w:szCs w:val="28"/>
          <w:lang w:val="en-US"/>
        </w:rPr>
        <w:t>Literature Review</w:t>
      </w:r>
    </w:p>
    <w:p w14:paraId="779AA9A6" w14:textId="77777777" w:rsidR="007E5C9C" w:rsidRDefault="007E5C9C" w:rsidP="005823F2">
      <w:pPr>
        <w:spacing w:before="0" w:after="0" w:line="240" w:lineRule="auto"/>
        <w:rPr>
          <w:sz w:val="22"/>
          <w:szCs w:val="22"/>
          <w:lang w:val="en-US"/>
        </w:rPr>
      </w:pPr>
    </w:p>
    <w:p w14:paraId="036B4489" w14:textId="4A0FCA21" w:rsidR="007E5C9C" w:rsidRDefault="0025437E" w:rsidP="005823F2">
      <w:pPr>
        <w:tabs>
          <w:tab w:val="left" w:pos="-257"/>
          <w:tab w:val="left" w:pos="426"/>
        </w:tabs>
        <w:spacing w:before="0" w:after="0" w:line="240" w:lineRule="auto"/>
        <w:rPr>
          <w:b/>
          <w:bCs/>
          <w:lang w:val="en-US"/>
        </w:rPr>
      </w:pPr>
      <w:r>
        <w:rPr>
          <w:b/>
          <w:bCs/>
          <w:lang w:val="en-US"/>
        </w:rPr>
        <w:t>2.1</w:t>
      </w:r>
      <w:r>
        <w:rPr>
          <w:b/>
          <w:bCs/>
          <w:lang w:val="en-US"/>
        </w:rPr>
        <w:tab/>
      </w:r>
      <w:r w:rsidR="00FB5A8D">
        <w:rPr>
          <w:b/>
          <w:bCs/>
          <w:lang w:val="en-US"/>
        </w:rPr>
        <w:t>Islamic Banking</w:t>
      </w:r>
    </w:p>
    <w:p w14:paraId="4192F513" w14:textId="3534AF2B" w:rsidR="00FB5A8D" w:rsidRPr="00FB5A8D" w:rsidRDefault="00FB5A8D" w:rsidP="00FB5A8D">
      <w:pPr>
        <w:spacing w:before="0" w:after="0" w:line="240" w:lineRule="auto"/>
        <w:ind w:firstLine="284"/>
        <w:rPr>
          <w:sz w:val="22"/>
          <w:szCs w:val="22"/>
          <w:lang w:val="en-US"/>
        </w:rPr>
      </w:pPr>
      <w:r w:rsidRPr="00FB5A8D">
        <w:rPr>
          <w:color w:val="000000" w:themeColor="text1"/>
          <w:sz w:val="22"/>
          <w:szCs w:val="22"/>
          <w:lang w:val="id-ID"/>
        </w:rPr>
        <w:t xml:space="preserve">Islamic banking is a banking system which in practice is based on Islamic law (sharia) </w:t>
      </w:r>
      <w:r w:rsidR="00C70AD2">
        <w:rPr>
          <w:color w:val="000000" w:themeColor="text1"/>
          <w:sz w:val="22"/>
          <w:szCs w:val="22"/>
          <w:lang w:val="en-US"/>
        </w:rPr>
        <w:t>[5, 6]</w:t>
      </w:r>
      <w:r w:rsidRPr="00FB5A8D">
        <w:rPr>
          <w:color w:val="000000" w:themeColor="text1"/>
          <w:sz w:val="22"/>
          <w:szCs w:val="22"/>
          <w:lang w:val="id-ID"/>
        </w:rPr>
        <w:t>.</w:t>
      </w:r>
      <w:r w:rsidR="005129AB">
        <w:rPr>
          <w:color w:val="000000" w:themeColor="text1"/>
          <w:sz w:val="22"/>
          <w:szCs w:val="22"/>
          <w:lang w:val="en-US"/>
        </w:rPr>
        <w:t xml:space="preserve"> </w:t>
      </w:r>
      <w:r w:rsidR="005129AB" w:rsidRPr="005129AB">
        <w:rPr>
          <w:color w:val="000000" w:themeColor="text1"/>
          <w:sz w:val="22"/>
          <w:szCs w:val="22"/>
          <w:lang w:val="en-US"/>
        </w:rPr>
        <w:t>The implementation of Islamic Bank operational activities is based on the guidance of the Qur'an and Hadith</w:t>
      </w:r>
      <w:r w:rsidR="005129AB">
        <w:rPr>
          <w:color w:val="000000" w:themeColor="text1"/>
          <w:sz w:val="22"/>
          <w:szCs w:val="22"/>
          <w:lang w:val="en-US"/>
        </w:rPr>
        <w:t xml:space="preserve"> </w:t>
      </w:r>
      <w:r w:rsidR="00C70AD2">
        <w:rPr>
          <w:color w:val="000000" w:themeColor="text1"/>
          <w:sz w:val="22"/>
          <w:szCs w:val="22"/>
          <w:lang w:val="en-US"/>
        </w:rPr>
        <w:t>[6]</w:t>
      </w:r>
      <w:r w:rsidR="005129AB">
        <w:rPr>
          <w:color w:val="000000" w:themeColor="text1"/>
          <w:sz w:val="22"/>
          <w:szCs w:val="22"/>
          <w:lang w:val="en-US"/>
        </w:rPr>
        <w:t>.</w:t>
      </w:r>
      <w:r w:rsidRPr="00FB5A8D">
        <w:rPr>
          <w:color w:val="000000" w:themeColor="text1"/>
          <w:sz w:val="22"/>
          <w:szCs w:val="22"/>
          <w:lang w:val="id-ID"/>
        </w:rPr>
        <w:t xml:space="preserve"> The formation of this system was based on the prohibition in Islam to lend or collect loans by charging interest on loans (usury), as well as the prohibition to invest in prohibited businesses (haram) </w:t>
      </w:r>
      <w:r w:rsidR="00C70AD2">
        <w:rPr>
          <w:color w:val="000000" w:themeColor="text1"/>
          <w:sz w:val="22"/>
          <w:szCs w:val="22"/>
          <w:lang w:val="en-US"/>
        </w:rPr>
        <w:t>[7]</w:t>
      </w:r>
      <w:r w:rsidRPr="00FB5A8D">
        <w:rPr>
          <w:color w:val="000000" w:themeColor="text1"/>
          <w:sz w:val="22"/>
          <w:szCs w:val="22"/>
          <w:lang w:val="id-ID"/>
        </w:rPr>
        <w:t>. The prohibition is also in line with the theory and concept of maqashid sharia which recommends Muslims to maintain the 5 components in order to create the benefit of the ummah and prevent harm, namely: safeguarding faith (din), soul (nafs), reason (aql), descent (nasl) and property (maal).</w:t>
      </w:r>
    </w:p>
    <w:p w14:paraId="03CF791C" w14:textId="77777777" w:rsidR="007E5C9C" w:rsidRDefault="007E5C9C" w:rsidP="005823F2">
      <w:pPr>
        <w:spacing w:before="0" w:after="0" w:line="240" w:lineRule="auto"/>
        <w:rPr>
          <w:sz w:val="22"/>
          <w:szCs w:val="22"/>
          <w:lang w:val="en-US"/>
        </w:rPr>
      </w:pPr>
    </w:p>
    <w:p w14:paraId="4965E849" w14:textId="3A13D093" w:rsidR="007E5C9C" w:rsidRPr="00FB5A8D" w:rsidRDefault="0025437E" w:rsidP="00FB5A8D">
      <w:pPr>
        <w:keepNext/>
        <w:tabs>
          <w:tab w:val="left" w:pos="426"/>
        </w:tabs>
        <w:spacing w:before="0" w:after="0" w:line="240" w:lineRule="auto"/>
        <w:rPr>
          <w:b/>
          <w:bCs/>
          <w:lang w:val="en-US"/>
        </w:rPr>
      </w:pPr>
      <w:r w:rsidRPr="00FB5A8D">
        <w:rPr>
          <w:b/>
          <w:bCs/>
          <w:lang w:val="en-US"/>
        </w:rPr>
        <w:t>2.</w:t>
      </w:r>
      <w:r w:rsidR="00FB5A8D" w:rsidRPr="00FB5A8D">
        <w:rPr>
          <w:b/>
          <w:bCs/>
          <w:lang w:val="en-US"/>
        </w:rPr>
        <w:t>2</w:t>
      </w:r>
      <w:r w:rsidRPr="00FB5A8D">
        <w:rPr>
          <w:b/>
          <w:bCs/>
          <w:lang w:val="en-US"/>
        </w:rPr>
        <w:tab/>
      </w:r>
      <w:r w:rsidR="00FB5A8D">
        <w:rPr>
          <w:b/>
          <w:bCs/>
          <w:lang w:val="en-US"/>
        </w:rPr>
        <w:t>Switching Behavior</w:t>
      </w:r>
      <w:r w:rsidRPr="00FB5A8D">
        <w:rPr>
          <w:b/>
          <w:bCs/>
          <w:lang w:val="en-US"/>
        </w:rPr>
        <w:t xml:space="preserve"> </w:t>
      </w:r>
    </w:p>
    <w:p w14:paraId="411F2AAC" w14:textId="3859A0E9" w:rsidR="00FB5A8D" w:rsidRDefault="00FB5A8D" w:rsidP="00FB5A8D">
      <w:pPr>
        <w:spacing w:before="0" w:after="0" w:line="240" w:lineRule="auto"/>
        <w:ind w:firstLine="284"/>
        <w:rPr>
          <w:color w:val="000000" w:themeColor="text1"/>
          <w:sz w:val="22"/>
          <w:szCs w:val="22"/>
          <w:lang w:val="id-ID"/>
        </w:rPr>
      </w:pPr>
      <w:r w:rsidRPr="00FB5A8D">
        <w:rPr>
          <w:color w:val="000000" w:themeColor="text1"/>
          <w:sz w:val="22"/>
          <w:szCs w:val="22"/>
          <w:lang w:val="id-ID"/>
        </w:rPr>
        <w:t xml:space="preserve">Switching behavior is the process of moving consumers, both individuals and groups, from service providers that are currently being used to new service providers </w:t>
      </w:r>
      <w:r w:rsidR="00C70AD2">
        <w:rPr>
          <w:color w:val="000000" w:themeColor="text1"/>
          <w:sz w:val="22"/>
          <w:szCs w:val="22"/>
          <w:lang w:val="en-US"/>
        </w:rPr>
        <w:t>[8, 9, 10,</w:t>
      </w:r>
      <w:r w:rsidRPr="00FB5A8D">
        <w:rPr>
          <w:color w:val="000000" w:themeColor="text1"/>
          <w:sz w:val="22"/>
          <w:szCs w:val="22"/>
          <w:lang w:val="id-ID"/>
        </w:rPr>
        <w:t xml:space="preserve"> </w:t>
      </w:r>
      <w:r w:rsidR="00C70AD2">
        <w:rPr>
          <w:color w:val="000000" w:themeColor="text1"/>
          <w:sz w:val="22"/>
          <w:szCs w:val="22"/>
          <w:lang w:val="en-US"/>
        </w:rPr>
        <w:t>11, 12]</w:t>
      </w:r>
      <w:r w:rsidRPr="00FB5A8D">
        <w:rPr>
          <w:color w:val="000000" w:themeColor="text1"/>
          <w:sz w:val="22"/>
          <w:szCs w:val="22"/>
          <w:lang w:val="id-ID"/>
        </w:rPr>
        <w:t xml:space="preserve">. An understanding of switching behavior is very important for banking companies to understand people's behavior to protect customers </w:t>
      </w:r>
      <w:r w:rsidR="00C70AD2">
        <w:rPr>
          <w:color w:val="000000" w:themeColor="text1"/>
          <w:sz w:val="22"/>
          <w:szCs w:val="22"/>
          <w:lang w:val="en-US"/>
        </w:rPr>
        <w:t>[13]</w:t>
      </w:r>
      <w:r w:rsidRPr="00FB5A8D">
        <w:rPr>
          <w:color w:val="000000" w:themeColor="text1"/>
          <w:sz w:val="22"/>
          <w:szCs w:val="22"/>
          <w:lang w:val="id-ID"/>
        </w:rPr>
        <w:t xml:space="preserve">. This is because the loss of customers will have a negative </w:t>
      </w:r>
      <w:r w:rsidRPr="00FB5A8D">
        <w:rPr>
          <w:color w:val="000000" w:themeColor="text1"/>
          <w:sz w:val="22"/>
          <w:szCs w:val="22"/>
          <w:lang w:val="id-ID"/>
        </w:rPr>
        <w:t xml:space="preserve">impact, such as the need for additional costs to find new customers, loss of future investment, and can even damage the company's reputation and image </w:t>
      </w:r>
      <w:r w:rsidR="00C70AD2">
        <w:rPr>
          <w:color w:val="000000" w:themeColor="text1"/>
          <w:sz w:val="22"/>
          <w:szCs w:val="22"/>
          <w:lang w:val="en-US"/>
        </w:rPr>
        <w:t>[14]</w:t>
      </w:r>
      <w:r w:rsidRPr="00FB5A8D">
        <w:rPr>
          <w:color w:val="000000" w:themeColor="text1"/>
          <w:sz w:val="22"/>
          <w:szCs w:val="22"/>
          <w:lang w:val="id-ID"/>
        </w:rPr>
        <w:t xml:space="preserve">. Reputation, described as social identity, is an important intangible resource and can make a significant contribution to the performance and survival of the company. An indication of the success of building a reputation can be achieved if the company has good character in providing products or services </w:t>
      </w:r>
      <w:r w:rsidR="00C70AD2">
        <w:rPr>
          <w:color w:val="000000" w:themeColor="text1"/>
          <w:sz w:val="22"/>
          <w:szCs w:val="22"/>
          <w:lang w:val="en-US"/>
        </w:rPr>
        <w:t>[15,</w:t>
      </w:r>
      <w:r w:rsidRPr="00FB5A8D">
        <w:rPr>
          <w:color w:val="000000" w:themeColor="text1"/>
          <w:sz w:val="22"/>
          <w:szCs w:val="22"/>
          <w:lang w:val="id-ID"/>
        </w:rPr>
        <w:t xml:space="preserve"> </w:t>
      </w:r>
      <w:r w:rsidR="00C70AD2">
        <w:rPr>
          <w:color w:val="000000" w:themeColor="text1"/>
          <w:sz w:val="22"/>
          <w:szCs w:val="22"/>
          <w:lang w:val="en-US"/>
        </w:rPr>
        <w:t>16]</w:t>
      </w:r>
      <w:r w:rsidRPr="00FB5A8D">
        <w:rPr>
          <w:color w:val="000000" w:themeColor="text1"/>
          <w:sz w:val="22"/>
          <w:szCs w:val="22"/>
          <w:lang w:val="id-ID"/>
        </w:rPr>
        <w:t xml:space="preserve">. In general, switching behavior occurs due to customer disappointment with a product or finding another product that is better. For companies, understanding consumers will be the key to being able to compete better </w:t>
      </w:r>
      <w:r w:rsidR="00C70AD2">
        <w:rPr>
          <w:color w:val="000000" w:themeColor="text1"/>
          <w:sz w:val="22"/>
          <w:szCs w:val="22"/>
          <w:lang w:val="en-US"/>
        </w:rPr>
        <w:t>[17, 18]</w:t>
      </w:r>
      <w:r w:rsidRPr="00FB5A8D">
        <w:rPr>
          <w:color w:val="000000" w:themeColor="text1"/>
          <w:sz w:val="22"/>
          <w:szCs w:val="22"/>
          <w:lang w:val="id-ID"/>
        </w:rPr>
        <w:t xml:space="preserve">. There are many factors that motivate consumers to switch, including 1) price considerations; 2) reputation; 3) quality of service; 4) promotion; 5) products; 6) location; 7) profit; 8) there is coercion; and 9) recommendations from other customers </w:t>
      </w:r>
      <w:r w:rsidR="00C70AD2">
        <w:rPr>
          <w:color w:val="000000" w:themeColor="text1"/>
          <w:sz w:val="22"/>
          <w:szCs w:val="22"/>
          <w:lang w:val="en-US"/>
        </w:rPr>
        <w:t>[9, 19,</w:t>
      </w:r>
      <w:r w:rsidRPr="00FB5A8D">
        <w:rPr>
          <w:color w:val="000000" w:themeColor="text1"/>
          <w:sz w:val="22"/>
          <w:szCs w:val="22"/>
          <w:lang w:val="id-ID"/>
        </w:rPr>
        <w:t xml:space="preserve"> </w:t>
      </w:r>
      <w:r w:rsidR="00C70AD2">
        <w:rPr>
          <w:color w:val="000000" w:themeColor="text1"/>
          <w:sz w:val="22"/>
          <w:szCs w:val="22"/>
          <w:lang w:val="en-US"/>
        </w:rPr>
        <w:t>20,</w:t>
      </w:r>
      <w:r w:rsidRPr="00FB5A8D">
        <w:rPr>
          <w:color w:val="000000" w:themeColor="text1"/>
          <w:sz w:val="22"/>
          <w:szCs w:val="22"/>
          <w:lang w:val="id-ID"/>
        </w:rPr>
        <w:t xml:space="preserve"> </w:t>
      </w:r>
      <w:r w:rsidR="00C70AD2">
        <w:rPr>
          <w:color w:val="000000" w:themeColor="text1"/>
          <w:sz w:val="22"/>
          <w:szCs w:val="22"/>
          <w:lang w:val="en-US"/>
        </w:rPr>
        <w:t>21, 22,</w:t>
      </w:r>
      <w:r w:rsidRPr="00FB5A8D">
        <w:rPr>
          <w:color w:val="000000" w:themeColor="text1"/>
          <w:sz w:val="22"/>
          <w:szCs w:val="22"/>
          <w:lang w:val="id-ID"/>
        </w:rPr>
        <w:t xml:space="preserve"> </w:t>
      </w:r>
      <w:r w:rsidR="00C70AD2">
        <w:rPr>
          <w:color w:val="000000" w:themeColor="text1"/>
          <w:sz w:val="22"/>
          <w:szCs w:val="22"/>
          <w:lang w:val="en-US"/>
        </w:rPr>
        <w:t>23,</w:t>
      </w:r>
      <w:r w:rsidRPr="00FB5A8D">
        <w:rPr>
          <w:color w:val="000000" w:themeColor="text1"/>
          <w:sz w:val="22"/>
          <w:szCs w:val="22"/>
          <w:lang w:val="id-ID"/>
        </w:rPr>
        <w:t xml:space="preserve"> </w:t>
      </w:r>
      <w:r w:rsidR="00C70AD2">
        <w:rPr>
          <w:iCs/>
          <w:color w:val="000000"/>
          <w:sz w:val="22"/>
          <w:szCs w:val="22"/>
        </w:rPr>
        <w:t>24</w:t>
      </w:r>
      <w:r w:rsidRPr="00FB5A8D">
        <w:rPr>
          <w:iCs/>
          <w:color w:val="000000"/>
          <w:sz w:val="22"/>
          <w:szCs w:val="22"/>
          <w:lang w:val="id-ID"/>
        </w:rPr>
        <w:t>,</w:t>
      </w:r>
      <w:r w:rsidRPr="00FB5A8D">
        <w:rPr>
          <w:color w:val="000000" w:themeColor="text1"/>
          <w:sz w:val="22"/>
          <w:szCs w:val="22"/>
          <w:lang w:val="id-ID"/>
        </w:rPr>
        <w:t xml:space="preserve"> </w:t>
      </w:r>
      <w:r w:rsidR="004223CE">
        <w:rPr>
          <w:color w:val="000000" w:themeColor="text1"/>
          <w:sz w:val="22"/>
          <w:szCs w:val="22"/>
          <w:lang w:val="en-US"/>
        </w:rPr>
        <w:t>25]</w:t>
      </w:r>
      <w:r w:rsidRPr="00FB5A8D">
        <w:rPr>
          <w:color w:val="000000" w:themeColor="text1"/>
          <w:sz w:val="22"/>
          <w:szCs w:val="22"/>
          <w:lang w:val="id-ID"/>
        </w:rPr>
        <w:t xml:space="preserve">. Changes in customer behavior are also influenced by social, cultural, personal, and psychological factors that become their considerations for transferring bank services </w:t>
      </w:r>
      <w:r w:rsidR="00C70AD2">
        <w:rPr>
          <w:color w:val="000000" w:themeColor="text1"/>
          <w:sz w:val="22"/>
          <w:szCs w:val="22"/>
          <w:lang w:val="en-US"/>
        </w:rPr>
        <w:t xml:space="preserve">[17, </w:t>
      </w:r>
      <w:r w:rsidRPr="00FB5A8D">
        <w:rPr>
          <w:color w:val="000000" w:themeColor="text1"/>
          <w:sz w:val="22"/>
          <w:szCs w:val="22"/>
          <w:lang w:val="id-ID"/>
        </w:rPr>
        <w:t xml:space="preserve"> </w:t>
      </w:r>
      <w:r w:rsidR="004223CE">
        <w:rPr>
          <w:color w:val="000000" w:themeColor="text1"/>
          <w:sz w:val="22"/>
          <w:szCs w:val="22"/>
          <w:lang w:val="en-US"/>
        </w:rPr>
        <w:t>26]</w:t>
      </w:r>
      <w:r w:rsidRPr="00FB5A8D">
        <w:rPr>
          <w:color w:val="000000" w:themeColor="text1"/>
          <w:sz w:val="22"/>
          <w:szCs w:val="22"/>
          <w:lang w:val="id-ID"/>
        </w:rPr>
        <w:t>.</w:t>
      </w:r>
    </w:p>
    <w:p w14:paraId="48C42829" w14:textId="284575F4" w:rsidR="00FB5A8D" w:rsidRDefault="00FB5A8D" w:rsidP="005823F2">
      <w:pPr>
        <w:spacing w:before="0" w:after="0" w:line="240" w:lineRule="auto"/>
        <w:rPr>
          <w:color w:val="000000" w:themeColor="text1"/>
          <w:sz w:val="22"/>
          <w:szCs w:val="22"/>
          <w:lang w:val="id-ID"/>
        </w:rPr>
      </w:pPr>
    </w:p>
    <w:p w14:paraId="03107F88" w14:textId="64EB5FE3" w:rsidR="00FB5A8D" w:rsidRPr="00FB5A8D" w:rsidRDefault="00FB5A8D" w:rsidP="00FB5A8D">
      <w:pPr>
        <w:keepNext/>
        <w:tabs>
          <w:tab w:val="left" w:pos="426"/>
        </w:tabs>
        <w:spacing w:before="0" w:after="0" w:line="240" w:lineRule="auto"/>
        <w:rPr>
          <w:b/>
          <w:bCs/>
          <w:lang w:val="en-US"/>
        </w:rPr>
      </w:pPr>
      <w:r w:rsidRPr="00FB5A8D">
        <w:rPr>
          <w:b/>
          <w:bCs/>
          <w:lang w:val="en-US"/>
        </w:rPr>
        <w:t>2.</w:t>
      </w:r>
      <w:r>
        <w:rPr>
          <w:b/>
          <w:bCs/>
          <w:lang w:val="en-US"/>
        </w:rPr>
        <w:t>3</w:t>
      </w:r>
      <w:r w:rsidRPr="00FB5A8D">
        <w:rPr>
          <w:b/>
          <w:bCs/>
          <w:lang w:val="en-US"/>
        </w:rPr>
        <w:tab/>
      </w:r>
      <w:r>
        <w:rPr>
          <w:b/>
          <w:bCs/>
          <w:lang w:val="id-ID"/>
        </w:rPr>
        <w:t>Previous Research</w:t>
      </w:r>
      <w:r w:rsidRPr="00FB5A8D">
        <w:rPr>
          <w:b/>
          <w:bCs/>
          <w:lang w:val="en-US"/>
        </w:rPr>
        <w:t xml:space="preserve"> </w:t>
      </w:r>
    </w:p>
    <w:p w14:paraId="2F0F35BF" w14:textId="1C2E8635" w:rsidR="005823F2" w:rsidRPr="00FB5A8D" w:rsidRDefault="00FB5A8D" w:rsidP="00FB5A8D">
      <w:pPr>
        <w:spacing w:before="0" w:after="0" w:line="240" w:lineRule="auto"/>
        <w:ind w:firstLine="284"/>
        <w:rPr>
          <w:color w:val="000000" w:themeColor="text1"/>
          <w:sz w:val="22"/>
          <w:szCs w:val="22"/>
          <w:lang w:val="id-ID"/>
        </w:rPr>
      </w:pPr>
      <w:r w:rsidRPr="00FB5A8D">
        <w:rPr>
          <w:color w:val="000000" w:themeColor="text1"/>
          <w:sz w:val="22"/>
          <w:szCs w:val="22"/>
          <w:lang w:val="id-ID"/>
        </w:rPr>
        <w:t xml:space="preserve">Clemes, Gan, and Zheng </w:t>
      </w:r>
      <w:r w:rsidR="00C70AD2">
        <w:rPr>
          <w:color w:val="000000" w:themeColor="text1"/>
          <w:sz w:val="22"/>
          <w:szCs w:val="22"/>
          <w:lang w:val="en-US"/>
        </w:rPr>
        <w:t>[9]</w:t>
      </w:r>
      <w:r w:rsidRPr="00FB5A8D">
        <w:rPr>
          <w:color w:val="000000" w:themeColor="text1"/>
          <w:sz w:val="22"/>
          <w:szCs w:val="22"/>
          <w:lang w:val="id-ID"/>
        </w:rPr>
        <w:t xml:space="preserve"> analyzed the factors that influence customer switching behavior (price, response, service quality, customer commitment, service products, satisfaction, effective advertising, and involunatary switching) of banking customers in New Zealand. The results of this research state that factors such as customer commitment, service quality, reputation, and customer satisfaction are the main factors that influence customer behavior in switching banks. Several studies have stated that price is the dominant factor in determining switching behavior by customers </w:t>
      </w:r>
      <w:r w:rsidR="00C70AD2">
        <w:rPr>
          <w:color w:val="000000" w:themeColor="text1"/>
          <w:sz w:val="22"/>
          <w:szCs w:val="22"/>
          <w:lang w:val="en-US"/>
        </w:rPr>
        <w:t>[19,</w:t>
      </w:r>
      <w:r w:rsidRPr="00FB5A8D">
        <w:rPr>
          <w:color w:val="000000" w:themeColor="text1"/>
          <w:sz w:val="22"/>
          <w:szCs w:val="22"/>
          <w:lang w:val="id-ID"/>
        </w:rPr>
        <w:t xml:space="preserve"> </w:t>
      </w:r>
      <w:r w:rsidR="004223CE">
        <w:rPr>
          <w:color w:val="000000" w:themeColor="text1"/>
          <w:sz w:val="22"/>
          <w:szCs w:val="22"/>
          <w:lang w:val="en-US"/>
        </w:rPr>
        <w:t>27,</w:t>
      </w:r>
      <w:r w:rsidRPr="00FB5A8D">
        <w:rPr>
          <w:color w:val="000000" w:themeColor="text1"/>
          <w:sz w:val="22"/>
          <w:szCs w:val="22"/>
          <w:lang w:val="id-ID"/>
        </w:rPr>
        <w:t xml:space="preserve"> </w:t>
      </w:r>
      <w:r w:rsidR="004223CE">
        <w:rPr>
          <w:color w:val="000000" w:themeColor="text1"/>
          <w:sz w:val="22"/>
          <w:szCs w:val="22"/>
          <w:lang w:val="en-US"/>
        </w:rPr>
        <w:t>28]</w:t>
      </w:r>
      <w:r w:rsidRPr="00FB5A8D">
        <w:rPr>
          <w:color w:val="000000" w:themeColor="text1"/>
          <w:sz w:val="22"/>
          <w:szCs w:val="22"/>
          <w:lang w:val="id-ID"/>
        </w:rPr>
        <w:t xml:space="preserve">. Research conducted by Colgate and Hedge </w:t>
      </w:r>
      <w:r w:rsidR="004223CE">
        <w:rPr>
          <w:color w:val="000000" w:themeColor="text1"/>
          <w:sz w:val="22"/>
          <w:szCs w:val="22"/>
          <w:lang w:val="en-US"/>
        </w:rPr>
        <w:t>[27]</w:t>
      </w:r>
      <w:r w:rsidRPr="00FB5A8D">
        <w:rPr>
          <w:color w:val="000000" w:themeColor="text1"/>
          <w:sz w:val="22"/>
          <w:szCs w:val="22"/>
          <w:lang w:val="id-ID"/>
        </w:rPr>
        <w:t xml:space="preserve"> for the banking industry in Australia and New Zealand states that price is the first determining factor for customers in determining switching behavior to other banks. Then another research conducted by Subramaniam and Ramachandran </w:t>
      </w:r>
      <w:r w:rsidR="004223CE">
        <w:rPr>
          <w:color w:val="000000" w:themeColor="text1"/>
          <w:sz w:val="22"/>
          <w:szCs w:val="22"/>
          <w:lang w:val="en-US"/>
        </w:rPr>
        <w:t>[28]</w:t>
      </w:r>
      <w:r w:rsidRPr="00FB5A8D">
        <w:rPr>
          <w:color w:val="000000" w:themeColor="text1"/>
          <w:sz w:val="22"/>
          <w:szCs w:val="22"/>
          <w:lang w:val="id-ID"/>
        </w:rPr>
        <w:t xml:space="preserve"> on Customer Switching Behavior in Banking Industry shows price and reputation factors as the main factors that significantly influence customer switching behavior in Malaysia.</w:t>
      </w:r>
    </w:p>
    <w:p w14:paraId="758DB786" w14:textId="77777777" w:rsidR="005823F2" w:rsidRDefault="005823F2" w:rsidP="005823F2">
      <w:pPr>
        <w:spacing w:before="0" w:after="0" w:line="240" w:lineRule="auto"/>
        <w:rPr>
          <w:i/>
          <w:iCs/>
          <w:sz w:val="22"/>
          <w:szCs w:val="22"/>
          <w:lang w:val="en-US"/>
        </w:rPr>
      </w:pPr>
    </w:p>
    <w:p w14:paraId="58C69966" w14:textId="4A5E2F55" w:rsidR="007E5C9C" w:rsidRDefault="0025437E" w:rsidP="005823F2">
      <w:pPr>
        <w:tabs>
          <w:tab w:val="left" w:pos="284"/>
        </w:tabs>
        <w:spacing w:before="0" w:after="0" w:line="240" w:lineRule="auto"/>
        <w:rPr>
          <w:b/>
          <w:bCs/>
          <w:sz w:val="28"/>
          <w:szCs w:val="28"/>
          <w:lang w:val="en-US"/>
        </w:rPr>
      </w:pPr>
      <w:r>
        <w:rPr>
          <w:b/>
          <w:bCs/>
          <w:sz w:val="28"/>
          <w:szCs w:val="28"/>
          <w:lang w:val="en-US"/>
        </w:rPr>
        <w:t>3</w:t>
      </w:r>
      <w:r>
        <w:rPr>
          <w:b/>
          <w:bCs/>
          <w:sz w:val="28"/>
          <w:szCs w:val="28"/>
          <w:lang w:val="en-US"/>
        </w:rPr>
        <w:tab/>
      </w:r>
      <w:r w:rsidR="00FB5A8D">
        <w:rPr>
          <w:b/>
          <w:bCs/>
          <w:sz w:val="28"/>
          <w:szCs w:val="28"/>
          <w:lang w:val="en-US"/>
        </w:rPr>
        <w:t>Methods</w:t>
      </w:r>
    </w:p>
    <w:p w14:paraId="17646308" w14:textId="1DC5127B" w:rsidR="00FB5A8D" w:rsidRPr="00FB5A8D" w:rsidRDefault="00FB5A8D" w:rsidP="005823F2">
      <w:pPr>
        <w:pStyle w:val="BodyTextIndent2"/>
        <w:tabs>
          <w:tab w:val="clear" w:pos="4678"/>
        </w:tabs>
        <w:spacing w:after="0" w:line="240" w:lineRule="auto"/>
        <w:rPr>
          <w:lang w:val="en-US"/>
        </w:rPr>
      </w:pPr>
      <w:r w:rsidRPr="00FB5A8D">
        <w:rPr>
          <w:color w:val="000000" w:themeColor="text1"/>
          <w:lang w:val="id-ID"/>
        </w:rPr>
        <w:t xml:space="preserve">This research uses mixed methods with quantitative and qualitative data analysis. The use of qualitative data processing is carried out to understand the phenomenon as a whole </w:t>
      </w:r>
      <w:r w:rsidR="004223CE">
        <w:rPr>
          <w:color w:val="000000" w:themeColor="text1"/>
          <w:lang w:val="en-US"/>
        </w:rPr>
        <w:t>[29]</w:t>
      </w:r>
      <w:r w:rsidRPr="00FB5A8D">
        <w:rPr>
          <w:color w:val="000000" w:themeColor="text1"/>
          <w:lang w:val="id-ID"/>
        </w:rPr>
        <w:t xml:space="preserve">. In </w:t>
      </w:r>
      <w:r w:rsidRPr="00FB5A8D">
        <w:rPr>
          <w:color w:val="000000" w:themeColor="text1"/>
          <w:lang w:val="id-ID"/>
        </w:rPr>
        <w:lastRenderedPageBreak/>
        <w:t xml:space="preserve">addition, this study uses a phenomenological approach to understand and reveal emerging phenomena </w:t>
      </w:r>
      <w:r w:rsidR="004223CE">
        <w:rPr>
          <w:color w:val="000000" w:themeColor="text1"/>
          <w:lang w:val="en-US"/>
        </w:rPr>
        <w:t>[30,</w:t>
      </w:r>
      <w:r w:rsidRPr="00FB5A8D">
        <w:rPr>
          <w:color w:val="000000" w:themeColor="text1"/>
          <w:lang w:val="id-ID"/>
        </w:rPr>
        <w:t xml:space="preserve"> </w:t>
      </w:r>
      <w:r w:rsidR="004223CE">
        <w:rPr>
          <w:color w:val="000000" w:themeColor="text1"/>
          <w:lang w:val="en-US"/>
        </w:rPr>
        <w:t>31]</w:t>
      </w:r>
      <w:r w:rsidRPr="00FB5A8D">
        <w:rPr>
          <w:color w:val="000000" w:themeColor="text1"/>
          <w:lang w:val="id-ID"/>
        </w:rPr>
        <w:t>. The data collected in this study is primary data which is directly obtained from non-Muslim customers at Bank Syariah Mandiri branch of Metro City, Lampung Province, Indonesia.</w:t>
      </w:r>
    </w:p>
    <w:p w14:paraId="3FEFA29D" w14:textId="1AC5B26F" w:rsidR="00FB5A8D" w:rsidRDefault="00FB5A8D" w:rsidP="00FB5A8D">
      <w:pPr>
        <w:pStyle w:val="BodyTextIndent2"/>
        <w:tabs>
          <w:tab w:val="clear" w:pos="4678"/>
        </w:tabs>
        <w:spacing w:after="0" w:line="240" w:lineRule="auto"/>
        <w:ind w:firstLine="0"/>
        <w:rPr>
          <w:lang w:val="en-US"/>
        </w:rPr>
      </w:pPr>
    </w:p>
    <w:p w14:paraId="16BB1128" w14:textId="791BAACC" w:rsidR="00FB5A8D" w:rsidRPr="00FB5A8D" w:rsidRDefault="00FB5A8D" w:rsidP="00FB5A8D">
      <w:pPr>
        <w:keepNext/>
        <w:tabs>
          <w:tab w:val="left" w:pos="426"/>
        </w:tabs>
        <w:spacing w:before="0" w:after="0" w:line="240" w:lineRule="auto"/>
        <w:rPr>
          <w:b/>
          <w:bCs/>
          <w:lang w:val="en-US"/>
        </w:rPr>
      </w:pPr>
      <w:r>
        <w:rPr>
          <w:b/>
          <w:bCs/>
          <w:lang w:val="en-US"/>
        </w:rPr>
        <w:t>3</w:t>
      </w:r>
      <w:r w:rsidRPr="00FB5A8D">
        <w:rPr>
          <w:b/>
          <w:bCs/>
          <w:lang w:val="en-US"/>
        </w:rPr>
        <w:t>.</w:t>
      </w:r>
      <w:r>
        <w:rPr>
          <w:b/>
          <w:bCs/>
          <w:lang w:val="en-US"/>
        </w:rPr>
        <w:t>1</w:t>
      </w:r>
      <w:r w:rsidRPr="00FB5A8D">
        <w:rPr>
          <w:b/>
          <w:bCs/>
          <w:lang w:val="en-US"/>
        </w:rPr>
        <w:tab/>
      </w:r>
      <w:r>
        <w:rPr>
          <w:b/>
          <w:bCs/>
          <w:lang w:val="en-US"/>
        </w:rPr>
        <w:t>Sample</w:t>
      </w:r>
    </w:p>
    <w:p w14:paraId="0DEE15E2" w14:textId="1C4AB8A6" w:rsidR="00FB5A8D" w:rsidRPr="00FB5A8D" w:rsidRDefault="00FB5A8D" w:rsidP="00FB5A8D">
      <w:pPr>
        <w:pStyle w:val="BodyTextIndent2"/>
        <w:tabs>
          <w:tab w:val="clear" w:pos="4678"/>
        </w:tabs>
        <w:spacing w:after="0" w:line="240" w:lineRule="auto"/>
        <w:rPr>
          <w:lang w:val="en-US"/>
        </w:rPr>
      </w:pPr>
      <w:r w:rsidRPr="00FB5A8D">
        <w:rPr>
          <w:color w:val="000000" w:themeColor="text1"/>
          <w:lang w:val="id-ID"/>
        </w:rPr>
        <w:t xml:space="preserve">Samples were taken using purposive sampling technique. Purposive sampling is a sampling technique based on certain criteria </w:t>
      </w:r>
      <w:r w:rsidR="004223CE">
        <w:rPr>
          <w:color w:val="000000" w:themeColor="text1"/>
          <w:lang w:val="en-US"/>
        </w:rPr>
        <w:t>[32]</w:t>
      </w:r>
      <w:r w:rsidRPr="00FB5A8D">
        <w:rPr>
          <w:color w:val="000000" w:themeColor="text1"/>
          <w:lang w:val="id-ID"/>
        </w:rPr>
        <w:t xml:space="preserve">. The criteria that must be met in order to be sampled are non-Muslim customers who have a sharia bank account at the Metro City branch of Bank Syariah Mandiri, Lampung Province, Indonesia. The number of samples involved was 40 </w:t>
      </w:r>
      <w:commentRangeStart w:id="8"/>
      <w:commentRangeStart w:id="9"/>
      <w:r w:rsidRPr="00FB5A8D">
        <w:rPr>
          <w:color w:val="000000" w:themeColor="text1"/>
          <w:lang w:val="id-ID"/>
        </w:rPr>
        <w:t>people</w:t>
      </w:r>
      <w:commentRangeEnd w:id="8"/>
      <w:r w:rsidR="001F479C">
        <w:rPr>
          <w:rStyle w:val="CommentReference"/>
        </w:rPr>
        <w:commentReference w:id="8"/>
      </w:r>
      <w:commentRangeEnd w:id="9"/>
      <w:r w:rsidR="001F479C">
        <w:rPr>
          <w:rStyle w:val="CommentReference"/>
        </w:rPr>
        <w:commentReference w:id="9"/>
      </w:r>
      <w:r w:rsidRPr="00FB5A8D">
        <w:rPr>
          <w:color w:val="000000" w:themeColor="text1"/>
          <w:lang w:val="id-ID"/>
        </w:rPr>
        <w:t>.</w:t>
      </w:r>
    </w:p>
    <w:p w14:paraId="5EC60038" w14:textId="305FF52B" w:rsidR="00FB5A8D" w:rsidRDefault="00FB5A8D" w:rsidP="00FB5A8D">
      <w:pPr>
        <w:pStyle w:val="BodyTextIndent2"/>
        <w:tabs>
          <w:tab w:val="clear" w:pos="4678"/>
        </w:tabs>
        <w:spacing w:after="0" w:line="240" w:lineRule="auto"/>
        <w:ind w:firstLine="0"/>
        <w:rPr>
          <w:lang w:val="en-US"/>
        </w:rPr>
      </w:pPr>
    </w:p>
    <w:p w14:paraId="6AAC515C" w14:textId="1994611D" w:rsidR="00FB5A8D" w:rsidRPr="00FB5A8D" w:rsidRDefault="00FB5A8D" w:rsidP="00FB5A8D">
      <w:pPr>
        <w:keepNext/>
        <w:tabs>
          <w:tab w:val="left" w:pos="426"/>
        </w:tabs>
        <w:spacing w:before="0" w:after="0" w:line="240" w:lineRule="auto"/>
        <w:rPr>
          <w:b/>
          <w:bCs/>
          <w:lang w:val="en-US"/>
        </w:rPr>
      </w:pPr>
      <w:r>
        <w:rPr>
          <w:b/>
          <w:bCs/>
          <w:lang w:val="en-US"/>
        </w:rPr>
        <w:t>3</w:t>
      </w:r>
      <w:r w:rsidRPr="00FB5A8D">
        <w:rPr>
          <w:b/>
          <w:bCs/>
          <w:lang w:val="en-US"/>
        </w:rPr>
        <w:t>.</w:t>
      </w:r>
      <w:r>
        <w:rPr>
          <w:b/>
          <w:bCs/>
          <w:lang w:val="en-US"/>
        </w:rPr>
        <w:t>2</w:t>
      </w:r>
      <w:r w:rsidRPr="00FB5A8D">
        <w:rPr>
          <w:b/>
          <w:bCs/>
          <w:lang w:val="en-US"/>
        </w:rPr>
        <w:tab/>
      </w:r>
      <w:r w:rsidRPr="00CF585A">
        <w:rPr>
          <w:b/>
          <w:color w:val="000000" w:themeColor="text1"/>
          <w:lang w:val="id-ID"/>
        </w:rPr>
        <w:t>Data Collection Techniques and Data Analysis</w:t>
      </w:r>
      <w:r w:rsidRPr="00FB5A8D">
        <w:rPr>
          <w:b/>
          <w:bCs/>
          <w:lang w:val="en-US"/>
        </w:rPr>
        <w:t xml:space="preserve"> </w:t>
      </w:r>
    </w:p>
    <w:p w14:paraId="282CE39C" w14:textId="77777777" w:rsidR="000C5B55" w:rsidRDefault="00FB5A8D" w:rsidP="000C5B55">
      <w:pPr>
        <w:pStyle w:val="BodyTextIndent2"/>
        <w:tabs>
          <w:tab w:val="clear" w:pos="4678"/>
        </w:tabs>
        <w:spacing w:after="0" w:line="240" w:lineRule="auto"/>
        <w:rPr>
          <w:color w:val="000000" w:themeColor="text1"/>
          <w:lang w:val="id-ID"/>
        </w:rPr>
      </w:pPr>
      <w:r w:rsidRPr="00FB5A8D">
        <w:rPr>
          <w:color w:val="000000" w:themeColor="text1"/>
          <w:lang w:val="id-ID"/>
        </w:rPr>
        <w:t>Data was collected through filling out questionnaires and interviews with non-Muslim customers. The questionnaire contains questions related to nine factors that influence theoretical switching behavior. These factors are 1) price considerations; 2) reputation; 3) quality of service; 4) promotion; 5) products; 6) location; 7) profit; 8) there is coercion; and 9) recommendations from other customers. The questionnaire used was tested for validity and reliability first to see its feasibility. The validity of the instrument is done by measuring the value of its contents which involves the assessment of seven experts. While the reliability of the instrument was done by measuring the Alpha Cronbach value.</w:t>
      </w:r>
    </w:p>
    <w:p w14:paraId="08983220" w14:textId="291510A9" w:rsidR="00FB5A8D" w:rsidRPr="00FB5A8D" w:rsidRDefault="00FB5A8D" w:rsidP="000C5B55">
      <w:pPr>
        <w:pStyle w:val="BodyTextIndent2"/>
        <w:tabs>
          <w:tab w:val="clear" w:pos="4678"/>
        </w:tabs>
        <w:spacing w:after="0" w:line="240" w:lineRule="auto"/>
        <w:rPr>
          <w:color w:val="000000" w:themeColor="text1"/>
          <w:lang w:val="id-ID"/>
        </w:rPr>
      </w:pPr>
      <w:r w:rsidRPr="00FB5A8D">
        <w:rPr>
          <w:color w:val="000000" w:themeColor="text1"/>
          <w:lang w:val="id-ID"/>
        </w:rPr>
        <w:t>The data obtained through filling out questionnaires by participants were analyzed statistically using the ANOVA test. However, as a condition for the ANOVA test, the data obtained must be tested for normality and homogeneity first. If the data are normal and homogeneous, the ANOVA test can be performed. In addition, to deepen the information obtained through statistical analysis, qualitative data analysis is necessary. This is done based on the data collected through interview sessions and used to confirm the quantitative data.</w:t>
      </w:r>
    </w:p>
    <w:p w14:paraId="6125388C" w14:textId="6C811437" w:rsidR="005823F2" w:rsidRDefault="005823F2" w:rsidP="005823F2">
      <w:pPr>
        <w:tabs>
          <w:tab w:val="left" w:pos="284"/>
        </w:tabs>
        <w:spacing w:before="0" w:after="0" w:line="240" w:lineRule="auto"/>
        <w:rPr>
          <w:b/>
          <w:bCs/>
          <w:sz w:val="28"/>
          <w:szCs w:val="28"/>
          <w:lang w:val="en-US"/>
        </w:rPr>
      </w:pPr>
    </w:p>
    <w:p w14:paraId="3341C201" w14:textId="07A688C7" w:rsidR="000C5B55" w:rsidRPr="000C5B55" w:rsidRDefault="000C5B55" w:rsidP="000C5B55">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Results and Discussion</w:t>
      </w:r>
    </w:p>
    <w:p w14:paraId="7CBC5CD4" w14:textId="0947960A" w:rsidR="000C5B55" w:rsidRPr="00FB5A8D" w:rsidRDefault="000C5B55" w:rsidP="000C5B55">
      <w:pPr>
        <w:keepNext/>
        <w:tabs>
          <w:tab w:val="left" w:pos="426"/>
        </w:tabs>
        <w:spacing w:before="0" w:after="0" w:line="240" w:lineRule="auto"/>
        <w:rPr>
          <w:b/>
          <w:bCs/>
          <w:lang w:val="en-US"/>
        </w:rPr>
      </w:pPr>
      <w:r>
        <w:rPr>
          <w:b/>
          <w:bCs/>
          <w:lang w:val="en-US"/>
        </w:rPr>
        <w:t>4</w:t>
      </w:r>
      <w:r w:rsidRPr="00FB5A8D">
        <w:rPr>
          <w:b/>
          <w:bCs/>
          <w:lang w:val="en-US"/>
        </w:rPr>
        <w:t>.</w:t>
      </w:r>
      <w:r>
        <w:rPr>
          <w:b/>
          <w:bCs/>
          <w:lang w:val="en-US"/>
        </w:rPr>
        <w:t>1</w:t>
      </w:r>
      <w:r w:rsidRPr="00FB5A8D">
        <w:rPr>
          <w:b/>
          <w:bCs/>
          <w:lang w:val="en-US"/>
        </w:rPr>
        <w:tab/>
      </w:r>
      <w:r>
        <w:rPr>
          <w:b/>
          <w:bCs/>
          <w:lang w:val="en-US"/>
        </w:rPr>
        <w:t>Instrument Validity</w:t>
      </w:r>
    </w:p>
    <w:p w14:paraId="09B04C7D" w14:textId="77777777" w:rsidR="00A01C0A" w:rsidRDefault="000C5B55" w:rsidP="00A01C0A">
      <w:pPr>
        <w:pStyle w:val="BodyTextIndent2"/>
        <w:tabs>
          <w:tab w:val="clear" w:pos="4678"/>
        </w:tabs>
        <w:spacing w:after="0" w:line="240" w:lineRule="auto"/>
        <w:rPr>
          <w:color w:val="000000" w:themeColor="text1"/>
          <w:lang w:val="id-ID"/>
        </w:rPr>
      </w:pPr>
      <w:r w:rsidRPr="000C5B55">
        <w:rPr>
          <w:color w:val="000000" w:themeColor="text1"/>
          <w:lang w:val="id-ID"/>
        </w:rPr>
        <w:t xml:space="preserve">Samples were taken using purposive sampling technique. Purposive sampling is a sampling technique based on certain criteria </w:t>
      </w:r>
      <w:r w:rsidR="004223CE">
        <w:rPr>
          <w:color w:val="000000" w:themeColor="text1"/>
          <w:lang w:val="en-US"/>
        </w:rPr>
        <w:t>[32]</w:t>
      </w:r>
      <w:r w:rsidRPr="000C5B55">
        <w:rPr>
          <w:color w:val="000000" w:themeColor="text1"/>
          <w:lang w:val="id-ID"/>
        </w:rPr>
        <w:t xml:space="preserve">. The criteria that must be met in order to be sampled are non-Muslim customers who have a sharia bank account </w:t>
      </w:r>
      <w:r w:rsidRPr="000C5B55">
        <w:rPr>
          <w:color w:val="000000" w:themeColor="text1"/>
          <w:lang w:val="id-ID"/>
        </w:rPr>
        <w:t>at the Metro City branch of Bank Syariah Mandiri, Lampung Province, Indonesia. The number of samples involved was 40 people.</w:t>
      </w:r>
    </w:p>
    <w:p w14:paraId="5BBC34B3" w14:textId="32EEAEAF" w:rsidR="000C5B55" w:rsidRPr="00A01C0A" w:rsidRDefault="000C5B55" w:rsidP="00A01C0A">
      <w:pPr>
        <w:pStyle w:val="BodyTextIndent2"/>
        <w:tabs>
          <w:tab w:val="clear" w:pos="4678"/>
        </w:tabs>
        <w:spacing w:after="0" w:line="240" w:lineRule="auto"/>
        <w:rPr>
          <w:color w:val="000000" w:themeColor="text1"/>
          <w:lang w:val="id-ID"/>
        </w:rPr>
      </w:pPr>
      <w:r w:rsidRPr="000C5B55">
        <w:rPr>
          <w:color w:val="000000" w:themeColor="text1"/>
          <w:lang w:val="id-ID"/>
        </w:rPr>
        <w:t>The instrument validity test was carried out based on the assessment by seven experts through filling out a questionnaire (content validity). The data of validity test results can be seen in Table 1.</w:t>
      </w:r>
    </w:p>
    <w:p w14:paraId="234DCF0B" w14:textId="77777777" w:rsidR="000C5B55" w:rsidRPr="000C5B55" w:rsidRDefault="000C5B55" w:rsidP="00C959A6">
      <w:pPr>
        <w:spacing w:after="0" w:line="240" w:lineRule="auto"/>
        <w:jc w:val="center"/>
        <w:rPr>
          <w:color w:val="000000" w:themeColor="text1"/>
          <w:sz w:val="20"/>
          <w:szCs w:val="20"/>
          <w:lang w:val="id-ID"/>
        </w:rPr>
      </w:pPr>
      <w:r w:rsidRPr="000C5B55">
        <w:rPr>
          <w:b/>
          <w:color w:val="000000" w:themeColor="text1"/>
          <w:sz w:val="20"/>
          <w:szCs w:val="20"/>
          <w:lang w:val="id-ID"/>
        </w:rPr>
        <w:t>Table 1:</w:t>
      </w:r>
      <w:r w:rsidRPr="000C5B55">
        <w:rPr>
          <w:color w:val="000000" w:themeColor="text1"/>
          <w:sz w:val="20"/>
          <w:szCs w:val="20"/>
          <w:lang w:val="id-ID"/>
        </w:rPr>
        <w:t xml:space="preserve"> Results of the Research Questionnaire Validity Test</w:t>
      </w:r>
    </w:p>
    <w:tbl>
      <w:tblPr>
        <w:tblW w:w="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81"/>
        <w:gridCol w:w="11"/>
        <w:gridCol w:w="732"/>
      </w:tblGrid>
      <w:tr w:rsidR="000C5B55" w:rsidRPr="000C5B55" w14:paraId="4189545C" w14:textId="77777777" w:rsidTr="000C5B55">
        <w:trPr>
          <w:jc w:val="center"/>
        </w:trPr>
        <w:tc>
          <w:tcPr>
            <w:tcW w:w="4052" w:type="dxa"/>
            <w:gridSpan w:val="3"/>
          </w:tcPr>
          <w:p w14:paraId="7B0CA57F" w14:textId="77777777" w:rsidR="000C5B55" w:rsidRPr="000C5B55" w:rsidRDefault="000C5B55" w:rsidP="000C5B55">
            <w:pPr>
              <w:suppressAutoHyphens/>
              <w:adjustRightInd w:val="0"/>
              <w:spacing w:before="0" w:after="0" w:line="240" w:lineRule="auto"/>
              <w:ind w:left="2" w:hangingChars="1" w:hanging="2"/>
              <w:jc w:val="center"/>
              <w:outlineLvl w:val="0"/>
              <w:rPr>
                <w:b/>
                <w:bCs/>
                <w:color w:val="000000" w:themeColor="text1"/>
                <w:position w:val="-1"/>
                <w:sz w:val="18"/>
                <w:szCs w:val="18"/>
              </w:rPr>
            </w:pPr>
          </w:p>
        </w:tc>
        <w:tc>
          <w:tcPr>
            <w:tcW w:w="732" w:type="dxa"/>
            <w:hideMark/>
          </w:tcPr>
          <w:p w14:paraId="2F35E46F" w14:textId="77777777" w:rsidR="000C5B55" w:rsidRPr="000C5B55" w:rsidRDefault="000C5B55" w:rsidP="000C5B55">
            <w:pPr>
              <w:suppressAutoHyphens/>
              <w:adjustRightInd w:val="0"/>
              <w:spacing w:before="0" w:after="0" w:line="240" w:lineRule="auto"/>
              <w:ind w:left="2" w:hangingChars="1" w:hanging="2"/>
              <w:jc w:val="center"/>
              <w:outlineLvl w:val="0"/>
              <w:rPr>
                <w:b/>
                <w:bCs/>
                <w:color w:val="000000" w:themeColor="text1"/>
                <w:position w:val="-1"/>
                <w:sz w:val="18"/>
                <w:szCs w:val="18"/>
              </w:rPr>
            </w:pPr>
            <w:r w:rsidRPr="000C5B55">
              <w:rPr>
                <w:b/>
                <w:bCs/>
                <w:color w:val="000000" w:themeColor="text1"/>
                <w:sz w:val="18"/>
                <w:szCs w:val="18"/>
              </w:rPr>
              <w:t>Value</w:t>
            </w:r>
          </w:p>
        </w:tc>
      </w:tr>
      <w:tr w:rsidR="000C5B55" w:rsidRPr="000C5B55" w14:paraId="5D44A6A6" w14:textId="77777777" w:rsidTr="000C5B55">
        <w:trPr>
          <w:jc w:val="center"/>
        </w:trPr>
        <w:tc>
          <w:tcPr>
            <w:tcW w:w="2660" w:type="dxa"/>
            <w:vMerge w:val="restart"/>
            <w:hideMark/>
          </w:tcPr>
          <w:p w14:paraId="4C7625B0"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r w:rsidRPr="000C5B55">
              <w:rPr>
                <w:bCs/>
                <w:color w:val="000000" w:themeColor="text1"/>
                <w:sz w:val="18"/>
                <w:szCs w:val="18"/>
                <w:lang w:val="id-ID"/>
              </w:rPr>
              <w:t>Price consideration aspect</w:t>
            </w:r>
          </w:p>
          <w:p w14:paraId="6B90A9BA"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p>
        </w:tc>
        <w:tc>
          <w:tcPr>
            <w:tcW w:w="1381" w:type="dxa"/>
            <w:hideMark/>
          </w:tcPr>
          <w:p w14:paraId="27CC27C7"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5E1EC3A6"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11</w:t>
            </w:r>
          </w:p>
        </w:tc>
      </w:tr>
      <w:tr w:rsidR="000C5B55" w:rsidRPr="000C5B55" w14:paraId="792623CE" w14:textId="77777777" w:rsidTr="000C5B55">
        <w:trPr>
          <w:trHeight w:val="169"/>
          <w:jc w:val="center"/>
        </w:trPr>
        <w:tc>
          <w:tcPr>
            <w:tcW w:w="2660" w:type="dxa"/>
            <w:vMerge/>
            <w:hideMark/>
          </w:tcPr>
          <w:p w14:paraId="2DBA0500"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545E8A8B"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49F5E384"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1FEA4E90" w14:textId="77777777" w:rsidTr="000C5B55">
        <w:trPr>
          <w:jc w:val="center"/>
        </w:trPr>
        <w:tc>
          <w:tcPr>
            <w:tcW w:w="2660" w:type="dxa"/>
            <w:vMerge/>
            <w:hideMark/>
          </w:tcPr>
          <w:p w14:paraId="47388268"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5DEFB143"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4F703D3E"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0,714</w:t>
            </w:r>
          </w:p>
        </w:tc>
      </w:tr>
      <w:tr w:rsidR="000C5B55" w:rsidRPr="000C5B55" w14:paraId="6FEE3865" w14:textId="77777777" w:rsidTr="000C5B55">
        <w:trPr>
          <w:jc w:val="center"/>
        </w:trPr>
        <w:tc>
          <w:tcPr>
            <w:tcW w:w="2660" w:type="dxa"/>
            <w:vMerge/>
          </w:tcPr>
          <w:p w14:paraId="7AD4B862"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p>
        </w:tc>
        <w:tc>
          <w:tcPr>
            <w:tcW w:w="1381" w:type="dxa"/>
            <w:hideMark/>
          </w:tcPr>
          <w:p w14:paraId="4DB29225"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569D69BC"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167BED7A" w14:textId="77777777" w:rsidTr="000C5B55">
        <w:trPr>
          <w:jc w:val="center"/>
        </w:trPr>
        <w:tc>
          <w:tcPr>
            <w:tcW w:w="2660" w:type="dxa"/>
            <w:vMerge w:val="restart"/>
            <w:hideMark/>
          </w:tcPr>
          <w:p w14:paraId="20F67880"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r w:rsidRPr="000C5B55">
              <w:rPr>
                <w:color w:val="000000" w:themeColor="text1"/>
                <w:sz w:val="18"/>
                <w:szCs w:val="18"/>
                <w:lang w:val="id-ID"/>
              </w:rPr>
              <w:t xml:space="preserve">Reputation </w:t>
            </w:r>
            <w:r w:rsidRPr="000C5B55">
              <w:rPr>
                <w:bCs/>
                <w:color w:val="000000" w:themeColor="text1"/>
                <w:sz w:val="18"/>
                <w:szCs w:val="18"/>
                <w:lang w:val="id-ID"/>
              </w:rPr>
              <w:t>aspect</w:t>
            </w:r>
          </w:p>
        </w:tc>
        <w:tc>
          <w:tcPr>
            <w:tcW w:w="1381" w:type="dxa"/>
            <w:hideMark/>
          </w:tcPr>
          <w:p w14:paraId="2A797914"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1126BF0C"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8</w:t>
            </w:r>
          </w:p>
        </w:tc>
      </w:tr>
      <w:tr w:rsidR="000C5B55" w:rsidRPr="000C5B55" w14:paraId="56B40FCE" w14:textId="77777777" w:rsidTr="000C5B55">
        <w:trPr>
          <w:jc w:val="center"/>
        </w:trPr>
        <w:tc>
          <w:tcPr>
            <w:tcW w:w="2660" w:type="dxa"/>
            <w:vMerge/>
            <w:hideMark/>
          </w:tcPr>
          <w:p w14:paraId="2B522B0D"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0A4A6160"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62865692"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6346744D" w14:textId="77777777" w:rsidTr="000C5B55">
        <w:trPr>
          <w:jc w:val="center"/>
        </w:trPr>
        <w:tc>
          <w:tcPr>
            <w:tcW w:w="2660" w:type="dxa"/>
            <w:vMerge/>
            <w:hideMark/>
          </w:tcPr>
          <w:p w14:paraId="54CF39D6"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2CEAA514"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40CBBE0B"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rPr>
              <w:t>0,</w:t>
            </w:r>
            <w:r w:rsidRPr="000C5B55">
              <w:rPr>
                <w:color w:val="000000" w:themeColor="text1"/>
                <w:sz w:val="18"/>
                <w:szCs w:val="18"/>
                <w:lang w:val="id-ID"/>
              </w:rPr>
              <w:t>857</w:t>
            </w:r>
          </w:p>
        </w:tc>
      </w:tr>
      <w:tr w:rsidR="000C5B55" w:rsidRPr="000C5B55" w14:paraId="337BD011" w14:textId="77777777" w:rsidTr="000C5B55">
        <w:trPr>
          <w:jc w:val="center"/>
        </w:trPr>
        <w:tc>
          <w:tcPr>
            <w:tcW w:w="2660" w:type="dxa"/>
            <w:vMerge/>
          </w:tcPr>
          <w:p w14:paraId="20E892AE"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p>
        </w:tc>
        <w:tc>
          <w:tcPr>
            <w:tcW w:w="1381" w:type="dxa"/>
            <w:hideMark/>
          </w:tcPr>
          <w:p w14:paraId="154FD57C"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32BDB955"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0ACD7352" w14:textId="77777777" w:rsidTr="000C5B55">
        <w:trPr>
          <w:jc w:val="center"/>
        </w:trPr>
        <w:tc>
          <w:tcPr>
            <w:tcW w:w="2660" w:type="dxa"/>
            <w:vMerge w:val="restart"/>
            <w:hideMark/>
          </w:tcPr>
          <w:p w14:paraId="2FE9DC04"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r w:rsidRPr="000C5B55">
              <w:rPr>
                <w:color w:val="000000" w:themeColor="text1"/>
                <w:sz w:val="18"/>
                <w:szCs w:val="18"/>
                <w:lang w:val="id-ID"/>
              </w:rPr>
              <w:t>Service quality aspect</w:t>
            </w:r>
          </w:p>
        </w:tc>
        <w:tc>
          <w:tcPr>
            <w:tcW w:w="1381" w:type="dxa"/>
            <w:hideMark/>
          </w:tcPr>
          <w:p w14:paraId="39AA5600"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56B221F4"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9</w:t>
            </w:r>
          </w:p>
        </w:tc>
      </w:tr>
      <w:tr w:rsidR="000C5B55" w:rsidRPr="000C5B55" w14:paraId="62CD336A" w14:textId="77777777" w:rsidTr="000C5B55">
        <w:trPr>
          <w:jc w:val="center"/>
        </w:trPr>
        <w:tc>
          <w:tcPr>
            <w:tcW w:w="2660" w:type="dxa"/>
            <w:vMerge/>
            <w:vAlign w:val="center"/>
            <w:hideMark/>
          </w:tcPr>
          <w:p w14:paraId="06CDD6ED"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21BAF62D"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1C82D90B"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70A454B4" w14:textId="77777777" w:rsidTr="000C5B55">
        <w:trPr>
          <w:jc w:val="center"/>
        </w:trPr>
        <w:tc>
          <w:tcPr>
            <w:tcW w:w="2660" w:type="dxa"/>
            <w:vMerge/>
            <w:vAlign w:val="center"/>
            <w:hideMark/>
          </w:tcPr>
          <w:p w14:paraId="753A6117" w14:textId="77777777" w:rsidR="000C5B55" w:rsidRPr="000C5B55" w:rsidRDefault="000C5B55" w:rsidP="000C5B55">
            <w:pPr>
              <w:spacing w:before="0" w:after="0" w:line="240" w:lineRule="auto"/>
              <w:rPr>
                <w:b/>
                <w:bCs/>
                <w:color w:val="000000" w:themeColor="text1"/>
                <w:position w:val="-1"/>
                <w:sz w:val="18"/>
                <w:szCs w:val="18"/>
                <w:lang w:val="id-ID"/>
              </w:rPr>
            </w:pPr>
          </w:p>
        </w:tc>
        <w:tc>
          <w:tcPr>
            <w:tcW w:w="1381" w:type="dxa"/>
            <w:hideMark/>
          </w:tcPr>
          <w:p w14:paraId="5BABABA9"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63E5596B"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0,857</w:t>
            </w:r>
          </w:p>
        </w:tc>
      </w:tr>
      <w:tr w:rsidR="000C5B55" w:rsidRPr="000C5B55" w14:paraId="7DFEE1D8" w14:textId="77777777" w:rsidTr="000C5B55">
        <w:trPr>
          <w:jc w:val="center"/>
        </w:trPr>
        <w:tc>
          <w:tcPr>
            <w:tcW w:w="2660" w:type="dxa"/>
            <w:vMerge/>
          </w:tcPr>
          <w:p w14:paraId="6B5280BD"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rPr>
            </w:pPr>
          </w:p>
        </w:tc>
        <w:tc>
          <w:tcPr>
            <w:tcW w:w="1381" w:type="dxa"/>
            <w:hideMark/>
          </w:tcPr>
          <w:p w14:paraId="5721BC88"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444AA092"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42CA2E99" w14:textId="77777777" w:rsidTr="000C5B55">
        <w:trPr>
          <w:jc w:val="center"/>
        </w:trPr>
        <w:tc>
          <w:tcPr>
            <w:tcW w:w="2660" w:type="dxa"/>
            <w:vMerge w:val="restart"/>
            <w:hideMark/>
          </w:tcPr>
          <w:p w14:paraId="362B0F62"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r w:rsidRPr="000C5B55">
              <w:rPr>
                <w:color w:val="000000" w:themeColor="text1"/>
                <w:sz w:val="18"/>
                <w:szCs w:val="18"/>
                <w:lang w:val="id-ID"/>
              </w:rPr>
              <w:t>Promotion aspect</w:t>
            </w:r>
          </w:p>
        </w:tc>
        <w:tc>
          <w:tcPr>
            <w:tcW w:w="1381" w:type="dxa"/>
            <w:hideMark/>
          </w:tcPr>
          <w:p w14:paraId="2CF9FC71"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0D564CBA"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6</w:t>
            </w:r>
          </w:p>
        </w:tc>
      </w:tr>
      <w:tr w:rsidR="000C5B55" w:rsidRPr="000C5B55" w14:paraId="600D7F47" w14:textId="77777777" w:rsidTr="000C5B55">
        <w:trPr>
          <w:jc w:val="center"/>
        </w:trPr>
        <w:tc>
          <w:tcPr>
            <w:tcW w:w="2660" w:type="dxa"/>
            <w:vMerge/>
          </w:tcPr>
          <w:p w14:paraId="616A71C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4B9CDDF4"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5BFBA59E"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43E323B0" w14:textId="77777777" w:rsidTr="000C5B55">
        <w:trPr>
          <w:jc w:val="center"/>
        </w:trPr>
        <w:tc>
          <w:tcPr>
            <w:tcW w:w="2660" w:type="dxa"/>
            <w:vMerge/>
          </w:tcPr>
          <w:p w14:paraId="00D8C1A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168ADF7E"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68ACAFDA"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0,714</w:t>
            </w:r>
          </w:p>
        </w:tc>
      </w:tr>
      <w:tr w:rsidR="000C5B55" w:rsidRPr="000C5B55" w14:paraId="116266E6" w14:textId="77777777" w:rsidTr="000C5B55">
        <w:trPr>
          <w:jc w:val="center"/>
        </w:trPr>
        <w:tc>
          <w:tcPr>
            <w:tcW w:w="2660" w:type="dxa"/>
            <w:vMerge/>
          </w:tcPr>
          <w:p w14:paraId="7BDCDED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635ED2DF"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47CCA854"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28A12904" w14:textId="77777777" w:rsidTr="000C5B55">
        <w:trPr>
          <w:jc w:val="center"/>
        </w:trPr>
        <w:tc>
          <w:tcPr>
            <w:tcW w:w="2660" w:type="dxa"/>
            <w:vMerge w:val="restart"/>
            <w:hideMark/>
          </w:tcPr>
          <w:p w14:paraId="07124ADE"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r w:rsidRPr="000C5B55">
              <w:rPr>
                <w:color w:val="000000" w:themeColor="text1"/>
                <w:sz w:val="18"/>
                <w:szCs w:val="18"/>
                <w:lang w:val="id-ID"/>
              </w:rPr>
              <w:t>Product aspect</w:t>
            </w:r>
          </w:p>
        </w:tc>
        <w:tc>
          <w:tcPr>
            <w:tcW w:w="1381" w:type="dxa"/>
            <w:hideMark/>
          </w:tcPr>
          <w:p w14:paraId="63CEDACC"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11ACAE23"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11</w:t>
            </w:r>
          </w:p>
        </w:tc>
      </w:tr>
      <w:tr w:rsidR="000C5B55" w:rsidRPr="000C5B55" w14:paraId="229B16C3" w14:textId="77777777" w:rsidTr="000C5B55">
        <w:trPr>
          <w:jc w:val="center"/>
        </w:trPr>
        <w:tc>
          <w:tcPr>
            <w:tcW w:w="2660" w:type="dxa"/>
            <w:vMerge/>
          </w:tcPr>
          <w:p w14:paraId="49AF500D"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659ED524"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1963BECA"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69554304" w14:textId="77777777" w:rsidTr="000C5B55">
        <w:trPr>
          <w:jc w:val="center"/>
        </w:trPr>
        <w:tc>
          <w:tcPr>
            <w:tcW w:w="2660" w:type="dxa"/>
            <w:vMerge/>
          </w:tcPr>
          <w:p w14:paraId="32C50657"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4B9106BB"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15BC0695"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0,714</w:t>
            </w:r>
          </w:p>
        </w:tc>
      </w:tr>
      <w:tr w:rsidR="000C5B55" w:rsidRPr="000C5B55" w14:paraId="12CD064B" w14:textId="77777777" w:rsidTr="000C5B55">
        <w:trPr>
          <w:jc w:val="center"/>
        </w:trPr>
        <w:tc>
          <w:tcPr>
            <w:tcW w:w="2660" w:type="dxa"/>
            <w:vMerge/>
          </w:tcPr>
          <w:p w14:paraId="06F8D5D6"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13301D01"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37D573EC"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4C268275" w14:textId="77777777" w:rsidTr="000C5B55">
        <w:trPr>
          <w:jc w:val="center"/>
        </w:trPr>
        <w:tc>
          <w:tcPr>
            <w:tcW w:w="2660" w:type="dxa"/>
            <w:vMerge w:val="restart"/>
            <w:hideMark/>
          </w:tcPr>
          <w:p w14:paraId="5E7731C1" w14:textId="77777777" w:rsidR="000C5B55" w:rsidRPr="000C5B55" w:rsidRDefault="000C5B55" w:rsidP="000C5B55">
            <w:pPr>
              <w:suppressAutoHyphens/>
              <w:adjustRightInd w:val="0"/>
              <w:spacing w:before="0" w:after="0" w:line="240" w:lineRule="auto"/>
              <w:ind w:left="2" w:hangingChars="1" w:hanging="2"/>
              <w:outlineLvl w:val="0"/>
              <w:rPr>
                <w:bCs/>
                <w:color w:val="000000" w:themeColor="text1"/>
                <w:position w:val="-1"/>
                <w:sz w:val="18"/>
                <w:szCs w:val="18"/>
                <w:lang w:val="id-ID"/>
              </w:rPr>
            </w:pPr>
            <w:r w:rsidRPr="000C5B55">
              <w:rPr>
                <w:color w:val="000000" w:themeColor="text1"/>
                <w:sz w:val="18"/>
                <w:szCs w:val="18"/>
                <w:lang w:val="id-ID"/>
              </w:rPr>
              <w:t>Location aspect</w:t>
            </w:r>
          </w:p>
          <w:p w14:paraId="1DBC9008"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65EE515B"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02B3F0B8"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6</w:t>
            </w:r>
          </w:p>
        </w:tc>
      </w:tr>
      <w:tr w:rsidR="000C5B55" w:rsidRPr="000C5B55" w14:paraId="58D4EB98" w14:textId="77777777" w:rsidTr="000C5B55">
        <w:trPr>
          <w:jc w:val="center"/>
        </w:trPr>
        <w:tc>
          <w:tcPr>
            <w:tcW w:w="2660" w:type="dxa"/>
            <w:vMerge/>
          </w:tcPr>
          <w:p w14:paraId="7C67A482"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2F1F168C"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56B0D47F"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6C0ABE79" w14:textId="77777777" w:rsidTr="000C5B55">
        <w:trPr>
          <w:jc w:val="center"/>
        </w:trPr>
        <w:tc>
          <w:tcPr>
            <w:tcW w:w="2660" w:type="dxa"/>
            <w:vMerge/>
          </w:tcPr>
          <w:p w14:paraId="7B5F0FCA"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08EDB5F7"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226A88B1"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lang w:val="id-ID"/>
              </w:rPr>
              <w:t>0,857</w:t>
            </w:r>
          </w:p>
        </w:tc>
      </w:tr>
      <w:tr w:rsidR="000C5B55" w:rsidRPr="000C5B55" w14:paraId="3964F340" w14:textId="77777777" w:rsidTr="000C5B55">
        <w:trPr>
          <w:jc w:val="center"/>
        </w:trPr>
        <w:tc>
          <w:tcPr>
            <w:tcW w:w="2660" w:type="dxa"/>
            <w:vMerge/>
          </w:tcPr>
          <w:p w14:paraId="733A0F6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156EE952"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5AF9BA17"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66E5F9F2" w14:textId="77777777" w:rsidTr="000C5B55">
        <w:trPr>
          <w:jc w:val="center"/>
        </w:trPr>
        <w:tc>
          <w:tcPr>
            <w:tcW w:w="2660" w:type="dxa"/>
            <w:vMerge w:val="restart"/>
            <w:hideMark/>
          </w:tcPr>
          <w:p w14:paraId="70D4B17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r w:rsidRPr="000C5B55">
              <w:rPr>
                <w:color w:val="000000" w:themeColor="text1"/>
                <w:sz w:val="18"/>
                <w:szCs w:val="18"/>
                <w:lang w:val="id-ID"/>
              </w:rPr>
              <w:t>Profit aspect</w:t>
            </w:r>
          </w:p>
        </w:tc>
        <w:tc>
          <w:tcPr>
            <w:tcW w:w="1381" w:type="dxa"/>
            <w:hideMark/>
          </w:tcPr>
          <w:p w14:paraId="2AAA2769"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5CB6ABB4"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7</w:t>
            </w:r>
          </w:p>
        </w:tc>
      </w:tr>
      <w:tr w:rsidR="000C5B55" w:rsidRPr="000C5B55" w14:paraId="3E1B74DF" w14:textId="77777777" w:rsidTr="000C5B55">
        <w:trPr>
          <w:jc w:val="center"/>
        </w:trPr>
        <w:tc>
          <w:tcPr>
            <w:tcW w:w="2660" w:type="dxa"/>
            <w:vMerge/>
          </w:tcPr>
          <w:p w14:paraId="1FB2A5CA"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238EE6F0"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3C3E53A3"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51ED58C8" w14:textId="77777777" w:rsidTr="000C5B55">
        <w:trPr>
          <w:jc w:val="center"/>
        </w:trPr>
        <w:tc>
          <w:tcPr>
            <w:tcW w:w="2660" w:type="dxa"/>
            <w:vMerge/>
          </w:tcPr>
          <w:p w14:paraId="3E5F74FD"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6F17EFEA"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045BD454"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0,714</w:t>
            </w:r>
          </w:p>
        </w:tc>
      </w:tr>
      <w:tr w:rsidR="000C5B55" w:rsidRPr="000C5B55" w14:paraId="46AB5233" w14:textId="77777777" w:rsidTr="000C5B55">
        <w:trPr>
          <w:jc w:val="center"/>
        </w:trPr>
        <w:tc>
          <w:tcPr>
            <w:tcW w:w="2660" w:type="dxa"/>
            <w:vMerge/>
          </w:tcPr>
          <w:p w14:paraId="1973C853"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09D8DF90"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60054EC2"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41A6640E" w14:textId="77777777" w:rsidTr="000C5B55">
        <w:trPr>
          <w:jc w:val="center"/>
        </w:trPr>
        <w:tc>
          <w:tcPr>
            <w:tcW w:w="2660" w:type="dxa"/>
            <w:vMerge w:val="restart"/>
            <w:hideMark/>
          </w:tcPr>
          <w:p w14:paraId="357D53AE"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r w:rsidRPr="000C5B55">
              <w:rPr>
                <w:color w:val="000000" w:themeColor="text1"/>
                <w:sz w:val="18"/>
                <w:szCs w:val="18"/>
                <w:lang w:val="id-ID"/>
              </w:rPr>
              <w:t>Coercion aspect</w:t>
            </w:r>
          </w:p>
        </w:tc>
        <w:tc>
          <w:tcPr>
            <w:tcW w:w="1381" w:type="dxa"/>
            <w:hideMark/>
          </w:tcPr>
          <w:p w14:paraId="24001C4B"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334A3A2B"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6</w:t>
            </w:r>
          </w:p>
        </w:tc>
      </w:tr>
      <w:tr w:rsidR="000C5B55" w:rsidRPr="000C5B55" w14:paraId="69CB1E81" w14:textId="77777777" w:rsidTr="000C5B55">
        <w:trPr>
          <w:jc w:val="center"/>
        </w:trPr>
        <w:tc>
          <w:tcPr>
            <w:tcW w:w="2660" w:type="dxa"/>
            <w:vMerge/>
          </w:tcPr>
          <w:p w14:paraId="27593E29"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25B272E7"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49EED0BF"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3E7C19D8" w14:textId="77777777" w:rsidTr="000C5B55">
        <w:trPr>
          <w:jc w:val="center"/>
        </w:trPr>
        <w:tc>
          <w:tcPr>
            <w:tcW w:w="2660" w:type="dxa"/>
            <w:vMerge/>
          </w:tcPr>
          <w:p w14:paraId="305E2304"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2672165D"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01D0B353"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0,714</w:t>
            </w:r>
          </w:p>
        </w:tc>
      </w:tr>
      <w:tr w:rsidR="000C5B55" w:rsidRPr="000C5B55" w14:paraId="472E6CEB" w14:textId="77777777" w:rsidTr="000C5B55">
        <w:trPr>
          <w:jc w:val="center"/>
        </w:trPr>
        <w:tc>
          <w:tcPr>
            <w:tcW w:w="2660" w:type="dxa"/>
            <w:vMerge/>
          </w:tcPr>
          <w:p w14:paraId="39F85122"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064D51C8"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5F47239F"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r w:rsidR="000C5B55" w:rsidRPr="000C5B55" w14:paraId="17ABC863" w14:textId="77777777" w:rsidTr="000C5B55">
        <w:trPr>
          <w:jc w:val="center"/>
        </w:trPr>
        <w:tc>
          <w:tcPr>
            <w:tcW w:w="2660" w:type="dxa"/>
            <w:vMerge w:val="restart"/>
            <w:hideMark/>
          </w:tcPr>
          <w:p w14:paraId="5B154B43"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r w:rsidRPr="000C5B55">
              <w:rPr>
                <w:bCs/>
                <w:color w:val="000000" w:themeColor="text1"/>
                <w:sz w:val="18"/>
                <w:szCs w:val="18"/>
                <w:lang w:val="id-ID"/>
              </w:rPr>
              <w:t>Aspect of recommendations from other customers</w:t>
            </w:r>
          </w:p>
        </w:tc>
        <w:tc>
          <w:tcPr>
            <w:tcW w:w="1381" w:type="dxa"/>
            <w:hideMark/>
          </w:tcPr>
          <w:p w14:paraId="5AF525A6"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N</w:t>
            </w:r>
          </w:p>
        </w:tc>
        <w:tc>
          <w:tcPr>
            <w:tcW w:w="741" w:type="dxa"/>
            <w:gridSpan w:val="2"/>
            <w:hideMark/>
          </w:tcPr>
          <w:p w14:paraId="09B2491E"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lang w:val="id-ID"/>
              </w:rPr>
            </w:pPr>
            <w:r w:rsidRPr="000C5B55">
              <w:rPr>
                <w:color w:val="000000" w:themeColor="text1"/>
                <w:sz w:val="18"/>
                <w:szCs w:val="18"/>
                <w:lang w:val="id-ID"/>
              </w:rPr>
              <w:t>8</w:t>
            </w:r>
          </w:p>
        </w:tc>
      </w:tr>
      <w:tr w:rsidR="000C5B55" w:rsidRPr="000C5B55" w14:paraId="06EB9CD7" w14:textId="77777777" w:rsidTr="000C5B55">
        <w:trPr>
          <w:jc w:val="center"/>
        </w:trPr>
        <w:tc>
          <w:tcPr>
            <w:tcW w:w="2660" w:type="dxa"/>
            <w:vMerge/>
          </w:tcPr>
          <w:p w14:paraId="34333231"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2B194C6E"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Critical CVR</w:t>
            </w:r>
          </w:p>
        </w:tc>
        <w:tc>
          <w:tcPr>
            <w:tcW w:w="741" w:type="dxa"/>
            <w:gridSpan w:val="2"/>
            <w:hideMark/>
          </w:tcPr>
          <w:p w14:paraId="0495EE82"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0,622</w:t>
            </w:r>
          </w:p>
        </w:tc>
      </w:tr>
      <w:tr w:rsidR="000C5B55" w:rsidRPr="000C5B55" w14:paraId="2E81DBE8" w14:textId="77777777" w:rsidTr="000C5B55">
        <w:trPr>
          <w:jc w:val="center"/>
        </w:trPr>
        <w:tc>
          <w:tcPr>
            <w:tcW w:w="2660" w:type="dxa"/>
            <w:vMerge/>
          </w:tcPr>
          <w:p w14:paraId="17EC8CA5"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68DC53AE"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minimum</w:t>
            </w:r>
          </w:p>
        </w:tc>
        <w:tc>
          <w:tcPr>
            <w:tcW w:w="741" w:type="dxa"/>
            <w:gridSpan w:val="2"/>
            <w:hideMark/>
          </w:tcPr>
          <w:p w14:paraId="67832DD3"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lang w:val="id-ID"/>
              </w:rPr>
              <w:t>0,857</w:t>
            </w:r>
          </w:p>
        </w:tc>
      </w:tr>
      <w:tr w:rsidR="000C5B55" w:rsidRPr="000C5B55" w14:paraId="2BAEF8DB" w14:textId="77777777" w:rsidTr="000C5B55">
        <w:trPr>
          <w:jc w:val="center"/>
        </w:trPr>
        <w:tc>
          <w:tcPr>
            <w:tcW w:w="2660" w:type="dxa"/>
            <w:vMerge/>
          </w:tcPr>
          <w:p w14:paraId="46DE2E78" w14:textId="77777777" w:rsidR="000C5B55" w:rsidRPr="000C5B55" w:rsidRDefault="000C5B55" w:rsidP="000C5B55">
            <w:pPr>
              <w:suppressAutoHyphens/>
              <w:adjustRightInd w:val="0"/>
              <w:spacing w:before="0" w:after="0" w:line="240" w:lineRule="auto"/>
              <w:ind w:left="2" w:hangingChars="1" w:hanging="2"/>
              <w:outlineLvl w:val="0"/>
              <w:rPr>
                <w:b/>
                <w:bCs/>
                <w:color w:val="000000" w:themeColor="text1"/>
                <w:position w:val="-1"/>
                <w:sz w:val="18"/>
                <w:szCs w:val="18"/>
                <w:lang w:val="id-ID"/>
              </w:rPr>
            </w:pPr>
          </w:p>
        </w:tc>
        <w:tc>
          <w:tcPr>
            <w:tcW w:w="1381" w:type="dxa"/>
            <w:hideMark/>
          </w:tcPr>
          <w:p w14:paraId="54A98D9B" w14:textId="77777777" w:rsidR="000C5B55" w:rsidRPr="000C5B55" w:rsidRDefault="000C5B55" w:rsidP="000C5B55">
            <w:pPr>
              <w:suppressAutoHyphens/>
              <w:adjustRightInd w:val="0"/>
              <w:spacing w:before="0" w:after="0" w:line="240" w:lineRule="auto"/>
              <w:ind w:left="2" w:hangingChars="1" w:hanging="2"/>
              <w:outlineLvl w:val="0"/>
              <w:rPr>
                <w:color w:val="000000" w:themeColor="text1"/>
                <w:position w:val="-1"/>
                <w:sz w:val="18"/>
                <w:szCs w:val="18"/>
              </w:rPr>
            </w:pPr>
            <w:r w:rsidRPr="000C5B55">
              <w:rPr>
                <w:color w:val="000000" w:themeColor="text1"/>
                <w:sz w:val="18"/>
                <w:szCs w:val="18"/>
              </w:rPr>
              <w:t>CVR maximum</w:t>
            </w:r>
          </w:p>
        </w:tc>
        <w:tc>
          <w:tcPr>
            <w:tcW w:w="741" w:type="dxa"/>
            <w:gridSpan w:val="2"/>
            <w:hideMark/>
          </w:tcPr>
          <w:p w14:paraId="07AA4F40" w14:textId="77777777" w:rsidR="000C5B55" w:rsidRPr="000C5B55" w:rsidRDefault="000C5B55" w:rsidP="000C5B55">
            <w:pPr>
              <w:suppressAutoHyphens/>
              <w:adjustRightInd w:val="0"/>
              <w:spacing w:before="0" w:after="0" w:line="240" w:lineRule="auto"/>
              <w:ind w:left="2" w:hangingChars="1" w:hanging="2"/>
              <w:jc w:val="center"/>
              <w:outlineLvl w:val="0"/>
              <w:rPr>
                <w:color w:val="000000" w:themeColor="text1"/>
                <w:position w:val="-1"/>
                <w:sz w:val="18"/>
                <w:szCs w:val="18"/>
              </w:rPr>
            </w:pPr>
            <w:r w:rsidRPr="000C5B55">
              <w:rPr>
                <w:color w:val="000000" w:themeColor="text1"/>
                <w:sz w:val="18"/>
                <w:szCs w:val="18"/>
              </w:rPr>
              <w:t>1</w:t>
            </w:r>
          </w:p>
        </w:tc>
      </w:tr>
    </w:tbl>
    <w:p w14:paraId="7B685E85" w14:textId="77777777" w:rsidR="000C5B55" w:rsidRDefault="000C5B55" w:rsidP="000C5B55">
      <w:pPr>
        <w:pStyle w:val="BodyTextIndent2"/>
        <w:tabs>
          <w:tab w:val="clear" w:pos="4678"/>
        </w:tabs>
        <w:spacing w:after="0" w:line="240" w:lineRule="auto"/>
        <w:rPr>
          <w:color w:val="000000" w:themeColor="text1"/>
          <w:lang w:val="id-ID"/>
        </w:rPr>
      </w:pPr>
    </w:p>
    <w:p w14:paraId="589D4160" w14:textId="28F4DD0E" w:rsidR="000C5B55" w:rsidRPr="000C5B55" w:rsidRDefault="00E75B53" w:rsidP="000C5B55">
      <w:pPr>
        <w:pStyle w:val="BodyTextIndent2"/>
        <w:tabs>
          <w:tab w:val="clear" w:pos="4678"/>
        </w:tabs>
        <w:spacing w:after="0" w:line="240" w:lineRule="auto"/>
        <w:rPr>
          <w:color w:val="000000" w:themeColor="text1"/>
          <w:lang w:val="id-ID"/>
        </w:rPr>
      </w:pPr>
      <w:commentRangeStart w:id="10"/>
      <w:commentRangeStart w:id="11"/>
      <w:r w:rsidRPr="00E75B53">
        <w:rPr>
          <w:color w:val="000000" w:themeColor="text1"/>
          <w:highlight w:val="yellow"/>
          <w:lang w:val="id-ID"/>
        </w:rPr>
        <w:t xml:space="preserve">Based on the data in Table 1, it can be seen that the critical CVR value is 0.622. This value is a critical CVR value if it involves seven experts in the questionnaire assessment (Lawshe, 1975). If the CVR value of the questionnaire is above the critical CVR value, it can be said that the instrument has good validity as a measuring instrument. If you look at the data in Table 1, the minimum CVR value for price consideration aspect is 0.714, reputation aspect is 0.857, service quality aspect is 0.857, Promotion aspect is 0.714, product aspect is 0.714, location aspect is 0.714, profit aspect is 0.714, coercion </w:t>
      </w:r>
      <w:r w:rsidRPr="00E75B53">
        <w:rPr>
          <w:color w:val="000000" w:themeColor="text1"/>
          <w:highlight w:val="yellow"/>
          <w:lang w:val="id-ID"/>
        </w:rPr>
        <w:lastRenderedPageBreak/>
        <w:t>aspect of 0.714, and aspect of recommendations from other customers of 0.857. The overall minimum CVR value in each of these aspects is above the critical CVR value. This shows that each question item in the instrument has a good level of validity. Of course this is very important because a questionnaire that has a good level of validity will be able to measure what it wants to measure [33, 34]. This means that the prepared questionnaire can be used and has good measurement accuracy.</w:t>
      </w:r>
      <w:commentRangeEnd w:id="10"/>
      <w:r w:rsidR="00686FF3">
        <w:rPr>
          <w:rStyle w:val="CommentReference"/>
        </w:rPr>
        <w:commentReference w:id="10"/>
      </w:r>
      <w:commentRangeEnd w:id="11"/>
      <w:r w:rsidR="00686FF3">
        <w:rPr>
          <w:rStyle w:val="CommentReference"/>
        </w:rPr>
        <w:commentReference w:id="11"/>
      </w:r>
    </w:p>
    <w:p w14:paraId="2BDCE279" w14:textId="53E8F474" w:rsidR="000C5B55" w:rsidRDefault="000C5B55" w:rsidP="000C5B55">
      <w:pPr>
        <w:pStyle w:val="BodyTextIndent2"/>
        <w:tabs>
          <w:tab w:val="clear" w:pos="4678"/>
        </w:tabs>
        <w:spacing w:after="0" w:line="240" w:lineRule="auto"/>
        <w:rPr>
          <w:color w:val="000000" w:themeColor="text1"/>
          <w:lang w:val="id-ID"/>
        </w:rPr>
      </w:pPr>
    </w:p>
    <w:p w14:paraId="215B2EE0" w14:textId="6C6A1394" w:rsidR="000C5B55" w:rsidRPr="00FB5A8D" w:rsidRDefault="000C5B55" w:rsidP="000C5B55">
      <w:pPr>
        <w:keepNext/>
        <w:tabs>
          <w:tab w:val="left" w:pos="426"/>
        </w:tabs>
        <w:spacing w:before="0" w:after="0" w:line="240" w:lineRule="auto"/>
        <w:rPr>
          <w:b/>
          <w:bCs/>
          <w:lang w:val="en-US"/>
        </w:rPr>
      </w:pPr>
      <w:r>
        <w:rPr>
          <w:b/>
          <w:bCs/>
          <w:lang w:val="en-US"/>
        </w:rPr>
        <w:t>4</w:t>
      </w:r>
      <w:r w:rsidRPr="00FB5A8D">
        <w:rPr>
          <w:b/>
          <w:bCs/>
          <w:lang w:val="en-US"/>
        </w:rPr>
        <w:t>.</w:t>
      </w:r>
      <w:r>
        <w:rPr>
          <w:b/>
          <w:bCs/>
          <w:lang w:val="en-US"/>
        </w:rPr>
        <w:t>2</w:t>
      </w:r>
      <w:r w:rsidRPr="00FB5A8D">
        <w:rPr>
          <w:b/>
          <w:bCs/>
          <w:lang w:val="en-US"/>
        </w:rPr>
        <w:tab/>
      </w:r>
      <w:commentRangeStart w:id="12"/>
      <w:commentRangeStart w:id="13"/>
      <w:r w:rsidRPr="00CF585A">
        <w:rPr>
          <w:b/>
          <w:color w:val="000000" w:themeColor="text1"/>
          <w:lang w:val="id-ID"/>
        </w:rPr>
        <w:t>Data Collection Techniques and Data Analysis</w:t>
      </w:r>
      <w:r w:rsidRPr="00FB5A8D">
        <w:rPr>
          <w:b/>
          <w:bCs/>
          <w:lang w:val="en-US"/>
        </w:rPr>
        <w:t xml:space="preserve"> </w:t>
      </w:r>
      <w:commentRangeEnd w:id="12"/>
      <w:r w:rsidR="001443A4">
        <w:rPr>
          <w:rStyle w:val="CommentReference"/>
        </w:rPr>
        <w:commentReference w:id="12"/>
      </w:r>
      <w:commentRangeEnd w:id="13"/>
      <w:r w:rsidR="001443A4">
        <w:rPr>
          <w:rStyle w:val="CommentReference"/>
        </w:rPr>
        <w:commentReference w:id="13"/>
      </w:r>
    </w:p>
    <w:p w14:paraId="29FC8A07" w14:textId="4F511A19" w:rsidR="000C5B55" w:rsidRPr="000C5B55" w:rsidRDefault="000C5B55" w:rsidP="000C5B55">
      <w:pPr>
        <w:tabs>
          <w:tab w:val="left" w:pos="284"/>
        </w:tabs>
        <w:spacing w:before="0" w:after="0" w:line="240" w:lineRule="auto"/>
        <w:ind w:firstLine="284"/>
        <w:rPr>
          <w:color w:val="000000" w:themeColor="text1"/>
          <w:sz w:val="22"/>
          <w:szCs w:val="22"/>
          <w:lang w:val="id-ID"/>
        </w:rPr>
      </w:pPr>
      <w:r w:rsidRPr="000C5B55">
        <w:rPr>
          <w:color w:val="000000" w:themeColor="text1"/>
          <w:sz w:val="22"/>
          <w:szCs w:val="22"/>
        </w:rPr>
        <w:t xml:space="preserve">The reliability value is related to the reliability of the questionnaire when it is used to measure the same thing </w:t>
      </w:r>
      <w:r w:rsidR="004223CE">
        <w:rPr>
          <w:color w:val="000000" w:themeColor="text1"/>
          <w:sz w:val="22"/>
          <w:szCs w:val="22"/>
        </w:rPr>
        <w:t>[35]</w:t>
      </w:r>
      <w:r w:rsidRPr="000C5B55">
        <w:rPr>
          <w:color w:val="000000" w:themeColor="text1"/>
          <w:sz w:val="22"/>
          <w:szCs w:val="22"/>
        </w:rPr>
        <w:t xml:space="preserve">. Measurement of the reliability of the designed questionnaire was carried out by measuring the value of the Cronbach </w:t>
      </w:r>
      <w:proofErr w:type="spellStart"/>
      <w:r w:rsidRPr="000C5B55">
        <w:rPr>
          <w:color w:val="000000" w:themeColor="text1"/>
          <w:sz w:val="22"/>
          <w:szCs w:val="22"/>
        </w:rPr>
        <w:t>Aplha</w:t>
      </w:r>
      <w:proofErr w:type="spellEnd"/>
      <w:r w:rsidRPr="000C5B55">
        <w:rPr>
          <w:color w:val="000000" w:themeColor="text1"/>
          <w:sz w:val="22"/>
          <w:szCs w:val="22"/>
        </w:rPr>
        <w:t>. Reliability test results data can be seen in Table 2.</w:t>
      </w:r>
    </w:p>
    <w:p w14:paraId="5E5C8A70" w14:textId="77777777" w:rsidR="000C5B55" w:rsidRPr="000C5B55" w:rsidRDefault="000C5B55" w:rsidP="000C5B55">
      <w:pPr>
        <w:spacing w:after="0" w:line="240" w:lineRule="auto"/>
        <w:jc w:val="center"/>
        <w:rPr>
          <w:color w:val="000000" w:themeColor="text1"/>
          <w:sz w:val="20"/>
          <w:szCs w:val="20"/>
          <w:lang w:val="id-ID"/>
        </w:rPr>
      </w:pPr>
      <w:commentRangeStart w:id="14"/>
      <w:commentRangeStart w:id="15"/>
      <w:r w:rsidRPr="000C5B55">
        <w:rPr>
          <w:b/>
          <w:color w:val="000000" w:themeColor="text1"/>
          <w:sz w:val="20"/>
          <w:szCs w:val="20"/>
          <w:lang w:val="id-ID"/>
        </w:rPr>
        <w:t>Table</w:t>
      </w:r>
      <w:commentRangeEnd w:id="14"/>
      <w:r w:rsidR="001443A4">
        <w:rPr>
          <w:rStyle w:val="CommentReference"/>
        </w:rPr>
        <w:commentReference w:id="14"/>
      </w:r>
      <w:commentRangeEnd w:id="15"/>
      <w:r w:rsidR="001443A4">
        <w:rPr>
          <w:rStyle w:val="CommentReference"/>
        </w:rPr>
        <w:commentReference w:id="15"/>
      </w:r>
      <w:r w:rsidRPr="000C5B55">
        <w:rPr>
          <w:b/>
          <w:color w:val="000000" w:themeColor="text1"/>
          <w:sz w:val="20"/>
          <w:szCs w:val="20"/>
          <w:lang w:val="id-ID"/>
        </w:rPr>
        <w:t xml:space="preserve"> 2:</w:t>
      </w:r>
      <w:r w:rsidRPr="000C5B55">
        <w:rPr>
          <w:color w:val="000000" w:themeColor="text1"/>
          <w:sz w:val="20"/>
          <w:szCs w:val="20"/>
          <w:lang w:val="id-ID"/>
        </w:rPr>
        <w:t xml:space="preserve"> Questionnaire Reliability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49"/>
      </w:tblGrid>
      <w:tr w:rsidR="005F1EB7" w:rsidRPr="000C5B55" w14:paraId="07375594" w14:textId="77777777" w:rsidTr="005F1EB7">
        <w:trPr>
          <w:jc w:val="center"/>
        </w:trPr>
        <w:tc>
          <w:tcPr>
            <w:tcW w:w="2977" w:type="dxa"/>
          </w:tcPr>
          <w:p w14:paraId="1F37C2CE" w14:textId="77777777" w:rsidR="005F1EB7" w:rsidRPr="005F1EB7" w:rsidRDefault="005F1EB7" w:rsidP="000C5B55">
            <w:pPr>
              <w:suppressAutoHyphens/>
              <w:adjustRightInd w:val="0"/>
              <w:spacing w:before="0" w:after="0" w:line="240" w:lineRule="auto"/>
              <w:ind w:left="2" w:hangingChars="1" w:hanging="2"/>
              <w:jc w:val="center"/>
              <w:outlineLvl w:val="0"/>
              <w:rPr>
                <w:b/>
                <w:bCs/>
                <w:color w:val="000000" w:themeColor="text1"/>
                <w:position w:val="-1"/>
                <w:sz w:val="18"/>
                <w:szCs w:val="18"/>
                <w:highlight w:val="yellow"/>
                <w:lang w:val="id-ID"/>
              </w:rPr>
            </w:pPr>
            <w:r w:rsidRPr="005F1EB7">
              <w:rPr>
                <w:b/>
                <w:bCs/>
                <w:color w:val="000000" w:themeColor="text1"/>
                <w:position w:val="-1"/>
                <w:sz w:val="18"/>
                <w:szCs w:val="18"/>
                <w:highlight w:val="yellow"/>
                <w:lang w:val="id-ID"/>
              </w:rPr>
              <w:t>Factor</w:t>
            </w:r>
          </w:p>
        </w:tc>
        <w:tc>
          <w:tcPr>
            <w:tcW w:w="1449" w:type="dxa"/>
            <w:hideMark/>
          </w:tcPr>
          <w:p w14:paraId="393923B1" w14:textId="77777777" w:rsidR="005F1EB7" w:rsidRPr="005F1EB7" w:rsidRDefault="005F1EB7" w:rsidP="000C5B55">
            <w:pPr>
              <w:suppressAutoHyphens/>
              <w:spacing w:before="0" w:after="0" w:line="240" w:lineRule="auto"/>
              <w:ind w:left="2" w:right="60" w:hangingChars="1" w:hanging="2"/>
              <w:jc w:val="center"/>
              <w:outlineLvl w:val="0"/>
              <w:rPr>
                <w:b/>
                <w:bCs/>
                <w:color w:val="000000" w:themeColor="text1"/>
                <w:position w:val="-1"/>
                <w:sz w:val="18"/>
                <w:szCs w:val="18"/>
                <w:highlight w:val="yellow"/>
              </w:rPr>
            </w:pPr>
            <w:r w:rsidRPr="005F1EB7">
              <w:rPr>
                <w:b/>
                <w:bCs/>
                <w:color w:val="000000" w:themeColor="text1"/>
                <w:sz w:val="18"/>
                <w:szCs w:val="18"/>
                <w:highlight w:val="yellow"/>
              </w:rPr>
              <w:t>Cronbach's Alpha</w:t>
            </w:r>
          </w:p>
        </w:tc>
      </w:tr>
      <w:tr w:rsidR="005F1EB7" w:rsidRPr="000C5B55" w14:paraId="43434C1F" w14:textId="77777777" w:rsidTr="005F1EB7">
        <w:trPr>
          <w:jc w:val="center"/>
        </w:trPr>
        <w:tc>
          <w:tcPr>
            <w:tcW w:w="2977" w:type="dxa"/>
            <w:hideMark/>
          </w:tcPr>
          <w:p w14:paraId="70DAB86C" w14:textId="6CE44056"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Questions about price consideration aspect</w:t>
            </w:r>
          </w:p>
        </w:tc>
        <w:tc>
          <w:tcPr>
            <w:tcW w:w="1449" w:type="dxa"/>
            <w:hideMark/>
          </w:tcPr>
          <w:p w14:paraId="11E20724"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rPr>
            </w:pPr>
            <w:r w:rsidRPr="005F1EB7">
              <w:rPr>
                <w:color w:val="000000" w:themeColor="text1"/>
                <w:sz w:val="18"/>
                <w:szCs w:val="18"/>
                <w:highlight w:val="yellow"/>
                <w:lang w:val="id-ID"/>
              </w:rPr>
              <w:t>0</w:t>
            </w:r>
            <w:r w:rsidRPr="005F1EB7">
              <w:rPr>
                <w:color w:val="000000" w:themeColor="text1"/>
                <w:sz w:val="18"/>
                <w:szCs w:val="18"/>
                <w:highlight w:val="yellow"/>
              </w:rPr>
              <w:t>,933</w:t>
            </w:r>
          </w:p>
        </w:tc>
      </w:tr>
      <w:tr w:rsidR="005F1EB7" w:rsidRPr="000C5B55" w14:paraId="0A34047A" w14:textId="77777777" w:rsidTr="005F1EB7">
        <w:trPr>
          <w:jc w:val="center"/>
        </w:trPr>
        <w:tc>
          <w:tcPr>
            <w:tcW w:w="2977" w:type="dxa"/>
            <w:hideMark/>
          </w:tcPr>
          <w:p w14:paraId="07CC09DF" w14:textId="335DB7A8"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r</w:t>
            </w:r>
            <w:r w:rsidRPr="005F1EB7">
              <w:rPr>
                <w:color w:val="000000" w:themeColor="text1"/>
                <w:sz w:val="18"/>
                <w:szCs w:val="18"/>
                <w:highlight w:val="yellow"/>
                <w:lang w:val="id-ID"/>
              </w:rPr>
              <w:t xml:space="preserve">eputation </w:t>
            </w:r>
            <w:r w:rsidRPr="005F1EB7">
              <w:rPr>
                <w:bCs/>
                <w:color w:val="000000" w:themeColor="text1"/>
                <w:sz w:val="18"/>
                <w:szCs w:val="18"/>
                <w:highlight w:val="yellow"/>
                <w:lang w:val="id-ID"/>
              </w:rPr>
              <w:t>aspect</w:t>
            </w:r>
          </w:p>
        </w:tc>
        <w:tc>
          <w:tcPr>
            <w:tcW w:w="1449" w:type="dxa"/>
            <w:hideMark/>
          </w:tcPr>
          <w:p w14:paraId="39A363DD"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rPr>
            </w:pPr>
            <w:r w:rsidRPr="005F1EB7">
              <w:rPr>
                <w:color w:val="000000" w:themeColor="text1"/>
                <w:sz w:val="18"/>
                <w:szCs w:val="18"/>
                <w:highlight w:val="yellow"/>
                <w:lang w:val="id-ID"/>
              </w:rPr>
              <w:t>0</w:t>
            </w:r>
            <w:r w:rsidRPr="005F1EB7">
              <w:rPr>
                <w:color w:val="000000" w:themeColor="text1"/>
                <w:sz w:val="18"/>
                <w:szCs w:val="18"/>
                <w:highlight w:val="yellow"/>
              </w:rPr>
              <w:t>,972</w:t>
            </w:r>
          </w:p>
        </w:tc>
      </w:tr>
      <w:tr w:rsidR="005F1EB7" w:rsidRPr="000C5B55" w14:paraId="40F6104D" w14:textId="77777777" w:rsidTr="005F1EB7">
        <w:trPr>
          <w:jc w:val="center"/>
        </w:trPr>
        <w:tc>
          <w:tcPr>
            <w:tcW w:w="2977" w:type="dxa"/>
            <w:hideMark/>
          </w:tcPr>
          <w:p w14:paraId="089C660F" w14:textId="25DC5947" w:rsidR="005F1EB7" w:rsidRPr="005F1EB7" w:rsidRDefault="005F1EB7" w:rsidP="000C5B55">
            <w:pPr>
              <w:suppressAutoHyphens/>
              <w:adjustRightInd w:val="0"/>
              <w:spacing w:before="0" w:after="0" w:line="240" w:lineRule="auto"/>
              <w:ind w:left="2" w:hangingChars="1" w:hanging="2"/>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s</w:t>
            </w:r>
            <w:r w:rsidRPr="005F1EB7">
              <w:rPr>
                <w:color w:val="000000" w:themeColor="text1"/>
                <w:sz w:val="18"/>
                <w:szCs w:val="18"/>
                <w:highlight w:val="yellow"/>
                <w:lang w:val="id-ID"/>
              </w:rPr>
              <w:t>ervice quality aspect</w:t>
            </w:r>
          </w:p>
        </w:tc>
        <w:tc>
          <w:tcPr>
            <w:tcW w:w="1449" w:type="dxa"/>
            <w:hideMark/>
          </w:tcPr>
          <w:p w14:paraId="73040797" w14:textId="77777777" w:rsidR="005F1EB7" w:rsidRPr="005F1EB7" w:rsidRDefault="005F1EB7" w:rsidP="000C5B55">
            <w:pPr>
              <w:suppressAutoHyphens/>
              <w:adjustRightInd w:val="0"/>
              <w:spacing w:before="0" w:after="0" w:line="240" w:lineRule="auto"/>
              <w:ind w:left="2" w:right="33" w:hangingChars="1" w:hanging="2"/>
              <w:jc w:val="center"/>
              <w:outlineLvl w:val="0"/>
              <w:rPr>
                <w:color w:val="000000" w:themeColor="text1"/>
                <w:position w:val="-1"/>
                <w:sz w:val="18"/>
                <w:szCs w:val="18"/>
                <w:highlight w:val="yellow"/>
              </w:rPr>
            </w:pPr>
            <w:r w:rsidRPr="005F1EB7">
              <w:rPr>
                <w:color w:val="000000" w:themeColor="text1"/>
                <w:sz w:val="18"/>
                <w:szCs w:val="18"/>
                <w:highlight w:val="yellow"/>
                <w:lang w:val="id-ID"/>
              </w:rPr>
              <w:t>0</w:t>
            </w:r>
            <w:r w:rsidRPr="005F1EB7">
              <w:rPr>
                <w:color w:val="000000" w:themeColor="text1"/>
                <w:sz w:val="18"/>
                <w:szCs w:val="18"/>
                <w:highlight w:val="yellow"/>
              </w:rPr>
              <w:t>,953</w:t>
            </w:r>
          </w:p>
        </w:tc>
      </w:tr>
      <w:tr w:rsidR="005F1EB7" w:rsidRPr="000C5B55" w14:paraId="533CA4B5" w14:textId="77777777" w:rsidTr="005F1EB7">
        <w:trPr>
          <w:jc w:val="center"/>
        </w:trPr>
        <w:tc>
          <w:tcPr>
            <w:tcW w:w="2977" w:type="dxa"/>
            <w:hideMark/>
          </w:tcPr>
          <w:p w14:paraId="3ADC2A39" w14:textId="717F94E4"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p</w:t>
            </w:r>
            <w:r w:rsidRPr="005F1EB7">
              <w:rPr>
                <w:color w:val="000000" w:themeColor="text1"/>
                <w:sz w:val="18"/>
                <w:szCs w:val="18"/>
                <w:highlight w:val="yellow"/>
                <w:lang w:val="id-ID"/>
              </w:rPr>
              <w:t>romotion aspect</w:t>
            </w:r>
          </w:p>
        </w:tc>
        <w:tc>
          <w:tcPr>
            <w:tcW w:w="1449" w:type="dxa"/>
            <w:hideMark/>
          </w:tcPr>
          <w:p w14:paraId="2B4C94CA"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14</w:t>
            </w:r>
          </w:p>
        </w:tc>
      </w:tr>
      <w:tr w:rsidR="005F1EB7" w:rsidRPr="000C5B55" w14:paraId="5227274F" w14:textId="77777777" w:rsidTr="005F1EB7">
        <w:trPr>
          <w:jc w:val="center"/>
        </w:trPr>
        <w:tc>
          <w:tcPr>
            <w:tcW w:w="2977" w:type="dxa"/>
            <w:hideMark/>
          </w:tcPr>
          <w:p w14:paraId="58879C47" w14:textId="30C5ED1E"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p</w:t>
            </w:r>
            <w:r w:rsidRPr="005F1EB7">
              <w:rPr>
                <w:color w:val="000000" w:themeColor="text1"/>
                <w:sz w:val="18"/>
                <w:szCs w:val="18"/>
                <w:highlight w:val="yellow"/>
                <w:lang w:val="id-ID"/>
              </w:rPr>
              <w:t>roduct aspect</w:t>
            </w:r>
          </w:p>
        </w:tc>
        <w:tc>
          <w:tcPr>
            <w:tcW w:w="1449" w:type="dxa"/>
            <w:hideMark/>
          </w:tcPr>
          <w:p w14:paraId="6583388A"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28</w:t>
            </w:r>
          </w:p>
        </w:tc>
      </w:tr>
      <w:tr w:rsidR="005F1EB7" w:rsidRPr="000C5B55" w14:paraId="0DC117CE" w14:textId="77777777" w:rsidTr="005F1EB7">
        <w:trPr>
          <w:jc w:val="center"/>
        </w:trPr>
        <w:tc>
          <w:tcPr>
            <w:tcW w:w="2977" w:type="dxa"/>
            <w:hideMark/>
          </w:tcPr>
          <w:p w14:paraId="431BF41D" w14:textId="1446E5B2"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l</w:t>
            </w:r>
            <w:r w:rsidRPr="005F1EB7">
              <w:rPr>
                <w:color w:val="000000" w:themeColor="text1"/>
                <w:sz w:val="18"/>
                <w:szCs w:val="18"/>
                <w:highlight w:val="yellow"/>
                <w:lang w:val="id-ID"/>
              </w:rPr>
              <w:t>ocation aspect</w:t>
            </w:r>
          </w:p>
        </w:tc>
        <w:tc>
          <w:tcPr>
            <w:tcW w:w="1449" w:type="dxa"/>
            <w:hideMark/>
          </w:tcPr>
          <w:p w14:paraId="2270E463" w14:textId="77777777" w:rsidR="005F1EB7" w:rsidRPr="005F1EB7" w:rsidRDefault="005F1EB7" w:rsidP="000C5B55">
            <w:pPr>
              <w:suppressAutoHyphens/>
              <w:adjustRightInd w:val="0"/>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11</w:t>
            </w:r>
          </w:p>
        </w:tc>
      </w:tr>
      <w:tr w:rsidR="005F1EB7" w:rsidRPr="000C5B55" w14:paraId="7F0E5493" w14:textId="77777777" w:rsidTr="005F1EB7">
        <w:trPr>
          <w:jc w:val="center"/>
        </w:trPr>
        <w:tc>
          <w:tcPr>
            <w:tcW w:w="2977" w:type="dxa"/>
            <w:hideMark/>
          </w:tcPr>
          <w:p w14:paraId="43BB0164" w14:textId="70F2A55A"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p</w:t>
            </w:r>
            <w:r w:rsidRPr="005F1EB7">
              <w:rPr>
                <w:color w:val="000000" w:themeColor="text1"/>
                <w:sz w:val="18"/>
                <w:szCs w:val="18"/>
                <w:highlight w:val="yellow"/>
                <w:lang w:val="id-ID"/>
              </w:rPr>
              <w:t>rofit aspect</w:t>
            </w:r>
          </w:p>
        </w:tc>
        <w:tc>
          <w:tcPr>
            <w:tcW w:w="1449" w:type="dxa"/>
            <w:hideMark/>
          </w:tcPr>
          <w:p w14:paraId="78314512"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39</w:t>
            </w:r>
          </w:p>
        </w:tc>
      </w:tr>
      <w:tr w:rsidR="005F1EB7" w:rsidRPr="000C5B55" w14:paraId="2A8B33BB" w14:textId="77777777" w:rsidTr="005F1EB7">
        <w:trPr>
          <w:jc w:val="center"/>
        </w:trPr>
        <w:tc>
          <w:tcPr>
            <w:tcW w:w="2977" w:type="dxa"/>
            <w:hideMark/>
          </w:tcPr>
          <w:p w14:paraId="63CF93C5" w14:textId="1CAE14B2"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c</w:t>
            </w:r>
            <w:r w:rsidRPr="005F1EB7">
              <w:rPr>
                <w:color w:val="000000" w:themeColor="text1"/>
                <w:sz w:val="18"/>
                <w:szCs w:val="18"/>
                <w:highlight w:val="yellow"/>
                <w:lang w:val="id-ID"/>
              </w:rPr>
              <w:t>oercion aspect</w:t>
            </w:r>
          </w:p>
        </w:tc>
        <w:tc>
          <w:tcPr>
            <w:tcW w:w="1449" w:type="dxa"/>
            <w:hideMark/>
          </w:tcPr>
          <w:p w14:paraId="2D64DCE3" w14:textId="77777777" w:rsidR="005F1EB7" w:rsidRPr="005F1EB7" w:rsidRDefault="005F1EB7" w:rsidP="000C5B55">
            <w:pPr>
              <w:suppressAutoHyphens/>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41</w:t>
            </w:r>
          </w:p>
        </w:tc>
      </w:tr>
      <w:tr w:rsidR="005F1EB7" w:rsidRPr="000C5B55" w14:paraId="2C3816BE" w14:textId="77777777" w:rsidTr="005F1EB7">
        <w:trPr>
          <w:jc w:val="center"/>
        </w:trPr>
        <w:tc>
          <w:tcPr>
            <w:tcW w:w="2977" w:type="dxa"/>
            <w:hideMark/>
          </w:tcPr>
          <w:p w14:paraId="394C5876" w14:textId="6A1415FF" w:rsidR="005F1EB7" w:rsidRPr="005F1EB7" w:rsidRDefault="005F1EB7" w:rsidP="005F1EB7">
            <w:pPr>
              <w:suppressAutoHyphens/>
              <w:adjustRightInd w:val="0"/>
              <w:spacing w:before="0" w:after="0" w:line="240" w:lineRule="auto"/>
              <w:ind w:left="2" w:hangingChars="1" w:hanging="2"/>
              <w:jc w:val="left"/>
              <w:outlineLvl w:val="0"/>
              <w:rPr>
                <w:bCs/>
                <w:color w:val="000000" w:themeColor="text1"/>
                <w:position w:val="-1"/>
                <w:sz w:val="18"/>
                <w:szCs w:val="18"/>
                <w:highlight w:val="yellow"/>
                <w:lang w:val="id-ID"/>
              </w:rPr>
            </w:pPr>
            <w:r w:rsidRPr="005F1EB7">
              <w:rPr>
                <w:bCs/>
                <w:color w:val="000000" w:themeColor="text1"/>
                <w:sz w:val="18"/>
                <w:szCs w:val="18"/>
                <w:highlight w:val="yellow"/>
                <w:lang w:val="id-ID"/>
              </w:rPr>
              <w:t xml:space="preserve">Questions about </w:t>
            </w:r>
            <w:r w:rsidRPr="005F1EB7">
              <w:rPr>
                <w:bCs/>
                <w:color w:val="000000" w:themeColor="text1"/>
                <w:sz w:val="18"/>
                <w:szCs w:val="18"/>
                <w:highlight w:val="yellow"/>
                <w:lang w:val="en-US"/>
              </w:rPr>
              <w:t>a</w:t>
            </w:r>
            <w:r w:rsidRPr="005F1EB7">
              <w:rPr>
                <w:bCs/>
                <w:color w:val="000000" w:themeColor="text1"/>
                <w:sz w:val="18"/>
                <w:szCs w:val="18"/>
                <w:highlight w:val="yellow"/>
                <w:lang w:val="id-ID"/>
              </w:rPr>
              <w:t>spect of recommendations from other customers</w:t>
            </w:r>
          </w:p>
        </w:tc>
        <w:tc>
          <w:tcPr>
            <w:tcW w:w="1449" w:type="dxa"/>
            <w:hideMark/>
          </w:tcPr>
          <w:p w14:paraId="40EA844E" w14:textId="77777777" w:rsidR="005F1EB7" w:rsidRPr="005F1EB7" w:rsidRDefault="005F1EB7" w:rsidP="000C5B55">
            <w:pPr>
              <w:suppressAutoHyphens/>
              <w:adjustRightInd w:val="0"/>
              <w:spacing w:before="0" w:after="0" w:line="240" w:lineRule="auto"/>
              <w:ind w:left="2" w:right="33" w:hangingChars="1" w:hanging="2"/>
              <w:jc w:val="center"/>
              <w:outlineLvl w:val="0"/>
              <w:rPr>
                <w:color w:val="000000" w:themeColor="text1"/>
                <w:position w:val="-1"/>
                <w:sz w:val="18"/>
                <w:szCs w:val="18"/>
                <w:highlight w:val="yellow"/>
                <w:lang w:val="id-ID"/>
              </w:rPr>
            </w:pPr>
            <w:r w:rsidRPr="005F1EB7">
              <w:rPr>
                <w:color w:val="000000" w:themeColor="text1"/>
                <w:sz w:val="18"/>
                <w:szCs w:val="18"/>
                <w:highlight w:val="yellow"/>
                <w:lang w:val="id-ID"/>
              </w:rPr>
              <w:t>0</w:t>
            </w:r>
            <w:r w:rsidRPr="005F1EB7">
              <w:rPr>
                <w:color w:val="000000" w:themeColor="text1"/>
                <w:sz w:val="18"/>
                <w:szCs w:val="18"/>
                <w:highlight w:val="yellow"/>
              </w:rPr>
              <w:t>,9</w:t>
            </w:r>
            <w:r w:rsidRPr="005F1EB7">
              <w:rPr>
                <w:color w:val="000000" w:themeColor="text1"/>
                <w:sz w:val="18"/>
                <w:szCs w:val="18"/>
                <w:highlight w:val="yellow"/>
                <w:lang w:val="id-ID"/>
              </w:rPr>
              <w:t>27</w:t>
            </w:r>
          </w:p>
        </w:tc>
      </w:tr>
    </w:tbl>
    <w:p w14:paraId="7ECD30F1" w14:textId="77777777" w:rsidR="000C5B55" w:rsidRPr="000C5B55" w:rsidRDefault="000C5B55" w:rsidP="000C5B55">
      <w:pPr>
        <w:spacing w:before="0" w:after="0" w:line="240" w:lineRule="auto"/>
        <w:ind w:left="284" w:right="209" w:firstLine="425"/>
        <w:rPr>
          <w:color w:val="000000" w:themeColor="text1"/>
          <w:sz w:val="22"/>
          <w:szCs w:val="22"/>
          <w:lang w:val="id-ID"/>
        </w:rPr>
      </w:pPr>
    </w:p>
    <w:p w14:paraId="5D0F2B49" w14:textId="69D4774A" w:rsidR="000C5B55" w:rsidRPr="000C5B55" w:rsidRDefault="000C5B55" w:rsidP="000C5B55">
      <w:pPr>
        <w:tabs>
          <w:tab w:val="left" w:pos="284"/>
        </w:tabs>
        <w:spacing w:before="0" w:after="0" w:line="240" w:lineRule="auto"/>
        <w:ind w:firstLine="284"/>
        <w:rPr>
          <w:color w:val="000000" w:themeColor="text1"/>
          <w:sz w:val="22"/>
          <w:szCs w:val="22"/>
          <w:lang w:val="id-ID"/>
        </w:rPr>
      </w:pPr>
      <w:r w:rsidRPr="000C5B55">
        <w:rPr>
          <w:color w:val="000000" w:themeColor="text1"/>
          <w:sz w:val="22"/>
          <w:szCs w:val="22"/>
          <w:lang w:val="id-ID"/>
        </w:rPr>
        <w:t xml:space="preserve">Based on the data in Table 2, the Cronbach’s Alpha value of all aspects of the question is above 0.9. According to Firman </w:t>
      </w:r>
      <w:r w:rsidR="004223CE">
        <w:rPr>
          <w:color w:val="000000" w:themeColor="text1"/>
          <w:sz w:val="22"/>
          <w:szCs w:val="22"/>
          <w:lang w:val="en-US"/>
        </w:rPr>
        <w:t>[35]</w:t>
      </w:r>
      <w:r w:rsidRPr="000C5B55">
        <w:rPr>
          <w:color w:val="000000" w:themeColor="text1"/>
          <w:sz w:val="22"/>
          <w:szCs w:val="22"/>
          <w:lang w:val="id-ID"/>
        </w:rPr>
        <w:t xml:space="preserve">, this value is in the very high reliability category. Of course this is related to the consistency of the instrument in describing the information obtained </w:t>
      </w:r>
      <w:r w:rsidR="004223CE">
        <w:rPr>
          <w:color w:val="000000" w:themeColor="text1"/>
          <w:sz w:val="22"/>
          <w:szCs w:val="22"/>
          <w:lang w:val="en-US"/>
        </w:rPr>
        <w:t>[34, 35]</w:t>
      </w:r>
      <w:r w:rsidRPr="000C5B55">
        <w:rPr>
          <w:color w:val="000000" w:themeColor="text1"/>
          <w:sz w:val="22"/>
          <w:szCs w:val="22"/>
          <w:lang w:val="id-ID"/>
        </w:rPr>
        <w:t>. Based on this, it can be said that the designed questionnaire can be used for data collection tools in this study</w:t>
      </w:r>
    </w:p>
    <w:p w14:paraId="701A712D" w14:textId="49CDAB50" w:rsidR="000C5B55" w:rsidRDefault="000C5B55" w:rsidP="000C5B55">
      <w:pPr>
        <w:tabs>
          <w:tab w:val="left" w:pos="284"/>
        </w:tabs>
        <w:spacing w:before="0" w:after="0" w:line="240" w:lineRule="auto"/>
        <w:rPr>
          <w:color w:val="000000" w:themeColor="text1"/>
          <w:sz w:val="22"/>
          <w:szCs w:val="22"/>
          <w:lang w:val="id-ID"/>
        </w:rPr>
      </w:pPr>
    </w:p>
    <w:p w14:paraId="03EC96FD" w14:textId="16DE091A" w:rsidR="000C5B55" w:rsidRPr="00FB5A8D" w:rsidRDefault="000C5B55" w:rsidP="000C5B55">
      <w:pPr>
        <w:keepNext/>
        <w:tabs>
          <w:tab w:val="left" w:pos="426"/>
        </w:tabs>
        <w:spacing w:before="0" w:after="0" w:line="240" w:lineRule="auto"/>
        <w:rPr>
          <w:b/>
          <w:bCs/>
          <w:lang w:val="en-US"/>
        </w:rPr>
      </w:pPr>
      <w:r>
        <w:rPr>
          <w:b/>
          <w:bCs/>
          <w:lang w:val="en-US"/>
        </w:rPr>
        <w:t>4</w:t>
      </w:r>
      <w:r w:rsidRPr="00FB5A8D">
        <w:rPr>
          <w:b/>
          <w:bCs/>
          <w:lang w:val="en-US"/>
        </w:rPr>
        <w:t>.</w:t>
      </w:r>
      <w:r>
        <w:rPr>
          <w:b/>
          <w:bCs/>
          <w:lang w:val="en-US"/>
        </w:rPr>
        <w:t>3</w:t>
      </w:r>
      <w:r w:rsidRPr="00FB5A8D">
        <w:rPr>
          <w:b/>
          <w:bCs/>
          <w:lang w:val="en-US"/>
        </w:rPr>
        <w:tab/>
      </w:r>
      <w:commentRangeStart w:id="16"/>
      <w:commentRangeStart w:id="17"/>
      <w:r w:rsidRPr="00431108">
        <w:rPr>
          <w:b/>
          <w:color w:val="000000" w:themeColor="text1"/>
        </w:rPr>
        <w:t xml:space="preserve">Analysis of Factors Affecting Switching </w:t>
      </w:r>
      <w:proofErr w:type="spellStart"/>
      <w:r w:rsidRPr="00431108">
        <w:rPr>
          <w:b/>
          <w:color w:val="000000" w:themeColor="text1"/>
        </w:rPr>
        <w:t>Behavior</w:t>
      </w:r>
      <w:proofErr w:type="spellEnd"/>
      <w:r w:rsidRPr="00FB5A8D">
        <w:rPr>
          <w:b/>
          <w:bCs/>
          <w:lang w:val="en-US"/>
        </w:rPr>
        <w:t xml:space="preserve"> </w:t>
      </w:r>
      <w:commentRangeEnd w:id="16"/>
      <w:r w:rsidR="00686FF3">
        <w:rPr>
          <w:rStyle w:val="CommentReference"/>
        </w:rPr>
        <w:commentReference w:id="16"/>
      </w:r>
      <w:commentRangeEnd w:id="17"/>
      <w:r w:rsidR="00686FF3">
        <w:rPr>
          <w:rStyle w:val="CommentReference"/>
        </w:rPr>
        <w:commentReference w:id="17"/>
      </w:r>
    </w:p>
    <w:p w14:paraId="4065AA02" w14:textId="6E024D9C" w:rsidR="000C5B55" w:rsidRDefault="000C5B55" w:rsidP="000C5B55">
      <w:pPr>
        <w:tabs>
          <w:tab w:val="left" w:pos="284"/>
        </w:tabs>
        <w:spacing w:before="0" w:after="0" w:line="240" w:lineRule="auto"/>
        <w:ind w:firstLine="284"/>
        <w:rPr>
          <w:color w:val="000000" w:themeColor="text1"/>
          <w:sz w:val="22"/>
          <w:szCs w:val="22"/>
          <w:lang w:val="id-ID"/>
        </w:rPr>
      </w:pPr>
      <w:r w:rsidRPr="000C5B55">
        <w:rPr>
          <w:color w:val="000000" w:themeColor="text1"/>
          <w:sz w:val="22"/>
          <w:szCs w:val="22"/>
        </w:rPr>
        <w:t xml:space="preserve">Before </w:t>
      </w:r>
      <w:proofErr w:type="spellStart"/>
      <w:r w:rsidRPr="000C5B55">
        <w:rPr>
          <w:color w:val="000000" w:themeColor="text1"/>
          <w:sz w:val="22"/>
          <w:szCs w:val="22"/>
        </w:rPr>
        <w:t>analyzing</w:t>
      </w:r>
      <w:proofErr w:type="spellEnd"/>
      <w:r w:rsidRPr="000C5B55">
        <w:rPr>
          <w:color w:val="000000" w:themeColor="text1"/>
          <w:sz w:val="22"/>
          <w:szCs w:val="22"/>
        </w:rPr>
        <w:t xml:space="preserve"> the factors that affect the switching </w:t>
      </w:r>
      <w:proofErr w:type="spellStart"/>
      <w:r w:rsidRPr="000C5B55">
        <w:rPr>
          <w:color w:val="000000" w:themeColor="text1"/>
          <w:sz w:val="22"/>
          <w:szCs w:val="22"/>
        </w:rPr>
        <w:t>behavior</w:t>
      </w:r>
      <w:proofErr w:type="spellEnd"/>
      <w:r w:rsidRPr="000C5B55">
        <w:rPr>
          <w:color w:val="000000" w:themeColor="text1"/>
          <w:sz w:val="22"/>
          <w:szCs w:val="22"/>
        </w:rPr>
        <w:t>, it is necessary to test the normality and homogeneity of the data. The normality and homogeneity tests were carried out using the SPSS program. The results of the analysis showed that the data were normally distributed and homogeneous with a significance value of more than 0.05 (Sig.</w:t>
      </w:r>
      <w:r w:rsidRPr="000C5B55">
        <w:rPr>
          <w:color w:val="000000" w:themeColor="text1"/>
          <w:sz w:val="22"/>
          <w:szCs w:val="22"/>
          <w:lang w:val="id-ID"/>
        </w:rPr>
        <w:t xml:space="preserve"> </w:t>
      </w:r>
      <w:r w:rsidRPr="000C5B55">
        <w:rPr>
          <w:color w:val="000000" w:themeColor="text1"/>
          <w:sz w:val="22"/>
          <w:szCs w:val="22"/>
        </w:rPr>
        <w:t xml:space="preserve">&gt; 0.05). Where is the Sig. for homogeneity and normality tests were 0.325 and 0.062, respectively. When the Sig. is above the α </w:t>
      </w:r>
      <w:r w:rsidRPr="000C5B55">
        <w:rPr>
          <w:color w:val="000000" w:themeColor="text1"/>
          <w:sz w:val="22"/>
          <w:szCs w:val="22"/>
        </w:rPr>
        <w:t xml:space="preserve">value (0.05), then the data is included in the normal and homogeneous category </w:t>
      </w:r>
      <w:r w:rsidR="004223CE">
        <w:rPr>
          <w:color w:val="000000" w:themeColor="text1"/>
          <w:sz w:val="22"/>
          <w:szCs w:val="22"/>
        </w:rPr>
        <w:t>[32].</w:t>
      </w:r>
    </w:p>
    <w:p w14:paraId="2F96637F" w14:textId="5E821B7E" w:rsidR="000C5B55" w:rsidRPr="000C5B55" w:rsidRDefault="000C5B55" w:rsidP="000C5B55">
      <w:pPr>
        <w:tabs>
          <w:tab w:val="left" w:pos="284"/>
        </w:tabs>
        <w:spacing w:before="0" w:after="0" w:line="240" w:lineRule="auto"/>
        <w:ind w:firstLine="284"/>
        <w:rPr>
          <w:color w:val="000000" w:themeColor="text1"/>
          <w:sz w:val="22"/>
          <w:szCs w:val="22"/>
          <w:lang w:val="id-ID"/>
        </w:rPr>
      </w:pPr>
      <w:r w:rsidRPr="000C5B55">
        <w:rPr>
          <w:color w:val="000000" w:themeColor="text1"/>
          <w:sz w:val="22"/>
          <w:szCs w:val="22"/>
        </w:rPr>
        <w:t xml:space="preserve">Because the data are normal and homogeneous, the ANOVA test can be carried out to </w:t>
      </w:r>
      <w:proofErr w:type="spellStart"/>
      <w:r w:rsidRPr="000C5B55">
        <w:rPr>
          <w:color w:val="000000" w:themeColor="text1"/>
          <w:sz w:val="22"/>
          <w:szCs w:val="22"/>
        </w:rPr>
        <w:t>analyze</w:t>
      </w:r>
      <w:proofErr w:type="spellEnd"/>
      <w:r w:rsidRPr="000C5B55">
        <w:rPr>
          <w:color w:val="000000" w:themeColor="text1"/>
          <w:sz w:val="22"/>
          <w:szCs w:val="22"/>
        </w:rPr>
        <w:t xml:space="preserve"> the influence of price, reputation, service quality, promotion, product, location, profit, coercion, and recommendations from other customers on the phenomenon of switching </w:t>
      </w:r>
      <w:proofErr w:type="spellStart"/>
      <w:r w:rsidRPr="000C5B55">
        <w:rPr>
          <w:color w:val="000000" w:themeColor="text1"/>
          <w:sz w:val="22"/>
          <w:szCs w:val="22"/>
        </w:rPr>
        <w:t>behavior</w:t>
      </w:r>
      <w:proofErr w:type="spellEnd"/>
      <w:r w:rsidRPr="000C5B55">
        <w:rPr>
          <w:color w:val="000000" w:themeColor="text1"/>
          <w:sz w:val="22"/>
          <w:szCs w:val="22"/>
        </w:rPr>
        <w:t>. Statistical analysis data can be seen in Table 3.</w:t>
      </w:r>
    </w:p>
    <w:p w14:paraId="6E165181" w14:textId="77777777" w:rsidR="000C5B55" w:rsidRPr="000C5B55" w:rsidRDefault="000C5B55" w:rsidP="000C5B55">
      <w:pPr>
        <w:spacing w:after="0" w:line="240" w:lineRule="auto"/>
        <w:ind w:right="209"/>
        <w:jc w:val="center"/>
        <w:rPr>
          <w:color w:val="000000" w:themeColor="text1"/>
          <w:sz w:val="20"/>
          <w:szCs w:val="20"/>
          <w:lang w:val="id-ID"/>
        </w:rPr>
      </w:pPr>
      <w:r w:rsidRPr="000C5B55">
        <w:rPr>
          <w:b/>
          <w:color w:val="000000" w:themeColor="text1"/>
          <w:sz w:val="20"/>
          <w:szCs w:val="20"/>
          <w:lang w:val="id-ID"/>
        </w:rPr>
        <w:t>Table 3:</w:t>
      </w:r>
      <w:r w:rsidRPr="000C5B55">
        <w:rPr>
          <w:color w:val="000000" w:themeColor="text1"/>
          <w:sz w:val="20"/>
          <w:szCs w:val="20"/>
          <w:lang w:val="id-ID"/>
        </w:rPr>
        <w:t xml:space="preserve"> Results of Statistical Analysis on Factors Affecting Switching Behavior</w:t>
      </w:r>
    </w:p>
    <w:tbl>
      <w:tblPr>
        <w:tblW w:w="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4"/>
        <w:gridCol w:w="838"/>
        <w:gridCol w:w="405"/>
        <w:gridCol w:w="744"/>
        <w:gridCol w:w="567"/>
        <w:gridCol w:w="709"/>
      </w:tblGrid>
      <w:tr w:rsidR="000C5B55" w:rsidRPr="000C5B55" w14:paraId="41277A29" w14:textId="77777777" w:rsidTr="000C5B55">
        <w:trPr>
          <w:cantSplit/>
          <w:jc w:val="center"/>
        </w:trPr>
        <w:tc>
          <w:tcPr>
            <w:tcW w:w="1254" w:type="dxa"/>
            <w:shd w:val="clear" w:color="auto" w:fill="FFFFFF"/>
          </w:tcPr>
          <w:p w14:paraId="6941B699" w14:textId="77777777" w:rsidR="000C5B55" w:rsidRPr="000C5B55" w:rsidRDefault="000C5B55" w:rsidP="000C5B55">
            <w:pPr>
              <w:adjustRightInd w:val="0"/>
              <w:spacing w:before="0" w:after="0" w:line="240" w:lineRule="auto"/>
              <w:ind w:left="60" w:right="60"/>
              <w:rPr>
                <w:color w:val="000000" w:themeColor="text1"/>
                <w:sz w:val="18"/>
                <w:szCs w:val="18"/>
              </w:rPr>
            </w:pPr>
          </w:p>
        </w:tc>
        <w:tc>
          <w:tcPr>
            <w:tcW w:w="838" w:type="dxa"/>
            <w:shd w:val="clear" w:color="auto" w:fill="FFFFFF"/>
            <w:hideMark/>
          </w:tcPr>
          <w:p w14:paraId="19070BC9" w14:textId="77777777" w:rsidR="000C5B55" w:rsidRPr="000C5B55" w:rsidRDefault="000C5B55" w:rsidP="000C5B55">
            <w:pPr>
              <w:adjustRightInd w:val="0"/>
              <w:spacing w:before="0" w:after="0" w:line="240" w:lineRule="auto"/>
              <w:ind w:left="60" w:right="60"/>
              <w:jc w:val="center"/>
              <w:rPr>
                <w:b/>
                <w:color w:val="000000" w:themeColor="text1"/>
                <w:sz w:val="18"/>
                <w:szCs w:val="18"/>
              </w:rPr>
            </w:pPr>
            <w:r w:rsidRPr="000C5B55">
              <w:rPr>
                <w:b/>
                <w:color w:val="000000" w:themeColor="text1"/>
                <w:sz w:val="18"/>
                <w:szCs w:val="18"/>
              </w:rPr>
              <w:t>Sum of Squares</w:t>
            </w:r>
          </w:p>
        </w:tc>
        <w:tc>
          <w:tcPr>
            <w:tcW w:w="405" w:type="dxa"/>
            <w:shd w:val="clear" w:color="auto" w:fill="FFFFFF"/>
            <w:hideMark/>
          </w:tcPr>
          <w:p w14:paraId="3E5BEFB1" w14:textId="77777777" w:rsidR="000C5B55" w:rsidRPr="000C5B55" w:rsidRDefault="000C5B55" w:rsidP="000C5B55">
            <w:pPr>
              <w:adjustRightInd w:val="0"/>
              <w:spacing w:before="0" w:after="0" w:line="240" w:lineRule="auto"/>
              <w:ind w:left="60" w:right="60"/>
              <w:jc w:val="center"/>
              <w:rPr>
                <w:b/>
                <w:color w:val="000000" w:themeColor="text1"/>
                <w:sz w:val="18"/>
                <w:szCs w:val="18"/>
              </w:rPr>
            </w:pPr>
            <w:r w:rsidRPr="000C5B55">
              <w:rPr>
                <w:b/>
                <w:color w:val="000000" w:themeColor="text1"/>
                <w:sz w:val="18"/>
                <w:szCs w:val="18"/>
              </w:rPr>
              <w:t>df</w:t>
            </w:r>
          </w:p>
        </w:tc>
        <w:tc>
          <w:tcPr>
            <w:tcW w:w="744" w:type="dxa"/>
            <w:shd w:val="clear" w:color="auto" w:fill="FFFFFF"/>
            <w:hideMark/>
          </w:tcPr>
          <w:p w14:paraId="680732B0" w14:textId="77777777" w:rsidR="000C5B55" w:rsidRPr="000C5B55" w:rsidRDefault="000C5B55" w:rsidP="000C5B55">
            <w:pPr>
              <w:adjustRightInd w:val="0"/>
              <w:spacing w:before="0" w:after="0" w:line="240" w:lineRule="auto"/>
              <w:ind w:left="60" w:right="60"/>
              <w:jc w:val="center"/>
              <w:rPr>
                <w:b/>
                <w:color w:val="000000" w:themeColor="text1"/>
                <w:sz w:val="18"/>
                <w:szCs w:val="18"/>
              </w:rPr>
            </w:pPr>
            <w:r w:rsidRPr="000C5B55">
              <w:rPr>
                <w:b/>
                <w:color w:val="000000" w:themeColor="text1"/>
                <w:sz w:val="18"/>
                <w:szCs w:val="18"/>
              </w:rPr>
              <w:t>Mean Square</w:t>
            </w:r>
          </w:p>
        </w:tc>
        <w:tc>
          <w:tcPr>
            <w:tcW w:w="567" w:type="dxa"/>
            <w:shd w:val="clear" w:color="auto" w:fill="FFFFFF"/>
            <w:hideMark/>
          </w:tcPr>
          <w:p w14:paraId="77307E86" w14:textId="77777777" w:rsidR="000C5B55" w:rsidRPr="000C5B55" w:rsidRDefault="000C5B55" w:rsidP="000C5B55">
            <w:pPr>
              <w:adjustRightInd w:val="0"/>
              <w:spacing w:before="0" w:after="0" w:line="240" w:lineRule="auto"/>
              <w:ind w:left="60" w:right="60"/>
              <w:jc w:val="center"/>
              <w:rPr>
                <w:b/>
                <w:color w:val="000000" w:themeColor="text1"/>
                <w:sz w:val="18"/>
                <w:szCs w:val="18"/>
              </w:rPr>
            </w:pPr>
            <w:r w:rsidRPr="000C5B55">
              <w:rPr>
                <w:b/>
                <w:color w:val="000000" w:themeColor="text1"/>
                <w:sz w:val="18"/>
                <w:szCs w:val="18"/>
              </w:rPr>
              <w:t>F</w:t>
            </w:r>
          </w:p>
        </w:tc>
        <w:tc>
          <w:tcPr>
            <w:tcW w:w="709" w:type="dxa"/>
            <w:shd w:val="clear" w:color="auto" w:fill="FFFFFF"/>
            <w:hideMark/>
          </w:tcPr>
          <w:p w14:paraId="1A72CCCC" w14:textId="77777777" w:rsidR="000C5B55" w:rsidRPr="000C5B55" w:rsidRDefault="000C5B55" w:rsidP="000C5B55">
            <w:pPr>
              <w:adjustRightInd w:val="0"/>
              <w:spacing w:before="0" w:after="0" w:line="240" w:lineRule="auto"/>
              <w:ind w:left="60" w:right="60"/>
              <w:jc w:val="center"/>
              <w:rPr>
                <w:b/>
                <w:color w:val="000000" w:themeColor="text1"/>
                <w:sz w:val="18"/>
                <w:szCs w:val="18"/>
              </w:rPr>
            </w:pPr>
            <w:r w:rsidRPr="000C5B55">
              <w:rPr>
                <w:b/>
                <w:color w:val="000000" w:themeColor="text1"/>
                <w:sz w:val="18"/>
                <w:szCs w:val="18"/>
              </w:rPr>
              <w:t>Sig.</w:t>
            </w:r>
          </w:p>
        </w:tc>
      </w:tr>
      <w:tr w:rsidR="000C5B55" w:rsidRPr="000C5B55" w14:paraId="565E077D" w14:textId="77777777" w:rsidTr="000C5B55">
        <w:trPr>
          <w:cantSplit/>
          <w:jc w:val="center"/>
        </w:trPr>
        <w:tc>
          <w:tcPr>
            <w:tcW w:w="1254" w:type="dxa"/>
            <w:shd w:val="clear" w:color="auto" w:fill="FFFFFF"/>
            <w:vAlign w:val="center"/>
            <w:hideMark/>
          </w:tcPr>
          <w:p w14:paraId="22865EBF" w14:textId="77777777" w:rsidR="000C5B55" w:rsidRPr="000C5B55" w:rsidRDefault="000C5B55" w:rsidP="000C5B55">
            <w:pPr>
              <w:adjustRightInd w:val="0"/>
              <w:spacing w:before="0" w:after="0" w:line="240" w:lineRule="auto"/>
              <w:ind w:left="60" w:right="60"/>
              <w:rPr>
                <w:color w:val="000000" w:themeColor="text1"/>
                <w:sz w:val="18"/>
                <w:szCs w:val="18"/>
              </w:rPr>
            </w:pPr>
            <w:r w:rsidRPr="000C5B55">
              <w:rPr>
                <w:color w:val="000000" w:themeColor="text1"/>
                <w:sz w:val="18"/>
                <w:szCs w:val="18"/>
              </w:rPr>
              <w:t>Between Groups</w:t>
            </w:r>
          </w:p>
        </w:tc>
        <w:tc>
          <w:tcPr>
            <w:tcW w:w="838" w:type="dxa"/>
            <w:shd w:val="clear" w:color="auto" w:fill="FFFFFF"/>
            <w:vAlign w:val="center"/>
            <w:hideMark/>
          </w:tcPr>
          <w:p w14:paraId="17ED95CA"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608.439</w:t>
            </w:r>
          </w:p>
        </w:tc>
        <w:tc>
          <w:tcPr>
            <w:tcW w:w="405" w:type="dxa"/>
            <w:shd w:val="clear" w:color="auto" w:fill="FFFFFF"/>
            <w:vAlign w:val="center"/>
            <w:hideMark/>
          </w:tcPr>
          <w:p w14:paraId="1098160A"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8</w:t>
            </w:r>
          </w:p>
        </w:tc>
        <w:tc>
          <w:tcPr>
            <w:tcW w:w="744" w:type="dxa"/>
            <w:shd w:val="clear" w:color="auto" w:fill="FFFFFF"/>
            <w:vAlign w:val="center"/>
            <w:hideMark/>
          </w:tcPr>
          <w:p w14:paraId="35924531"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76.055</w:t>
            </w:r>
          </w:p>
        </w:tc>
        <w:tc>
          <w:tcPr>
            <w:tcW w:w="567" w:type="dxa"/>
            <w:shd w:val="clear" w:color="auto" w:fill="FFFFFF"/>
            <w:vAlign w:val="center"/>
            <w:hideMark/>
          </w:tcPr>
          <w:p w14:paraId="47752E2F"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5.342</w:t>
            </w:r>
          </w:p>
        </w:tc>
        <w:tc>
          <w:tcPr>
            <w:tcW w:w="709" w:type="dxa"/>
            <w:shd w:val="clear" w:color="auto" w:fill="FFFFFF"/>
            <w:vAlign w:val="center"/>
            <w:hideMark/>
          </w:tcPr>
          <w:p w14:paraId="7579A28E"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.000</w:t>
            </w:r>
          </w:p>
        </w:tc>
      </w:tr>
      <w:tr w:rsidR="000C5B55" w:rsidRPr="000C5B55" w14:paraId="5DDCBF93" w14:textId="77777777" w:rsidTr="000C5B55">
        <w:trPr>
          <w:cantSplit/>
          <w:jc w:val="center"/>
        </w:trPr>
        <w:tc>
          <w:tcPr>
            <w:tcW w:w="1254" w:type="dxa"/>
            <w:shd w:val="clear" w:color="auto" w:fill="FFFFFF"/>
            <w:vAlign w:val="center"/>
            <w:hideMark/>
          </w:tcPr>
          <w:p w14:paraId="70522172" w14:textId="77777777" w:rsidR="000C5B55" w:rsidRPr="000C5B55" w:rsidRDefault="000C5B55" w:rsidP="000C5B55">
            <w:pPr>
              <w:adjustRightInd w:val="0"/>
              <w:spacing w:before="0" w:after="0" w:line="240" w:lineRule="auto"/>
              <w:ind w:left="60" w:right="60"/>
              <w:rPr>
                <w:color w:val="000000" w:themeColor="text1"/>
                <w:sz w:val="18"/>
                <w:szCs w:val="18"/>
              </w:rPr>
            </w:pPr>
            <w:r w:rsidRPr="000C5B55">
              <w:rPr>
                <w:color w:val="000000" w:themeColor="text1"/>
                <w:sz w:val="18"/>
                <w:szCs w:val="18"/>
              </w:rPr>
              <w:t>Within Groups</w:t>
            </w:r>
          </w:p>
        </w:tc>
        <w:tc>
          <w:tcPr>
            <w:tcW w:w="838" w:type="dxa"/>
            <w:shd w:val="clear" w:color="auto" w:fill="FFFFFF"/>
            <w:vAlign w:val="center"/>
            <w:hideMark/>
          </w:tcPr>
          <w:p w14:paraId="19DA06DB"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4997.425</w:t>
            </w:r>
          </w:p>
        </w:tc>
        <w:tc>
          <w:tcPr>
            <w:tcW w:w="405" w:type="dxa"/>
            <w:shd w:val="clear" w:color="auto" w:fill="FFFFFF"/>
            <w:vAlign w:val="center"/>
            <w:hideMark/>
          </w:tcPr>
          <w:p w14:paraId="5C45BD86"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351</w:t>
            </w:r>
          </w:p>
        </w:tc>
        <w:tc>
          <w:tcPr>
            <w:tcW w:w="744" w:type="dxa"/>
            <w:shd w:val="clear" w:color="auto" w:fill="FFFFFF"/>
            <w:vAlign w:val="center"/>
            <w:hideMark/>
          </w:tcPr>
          <w:p w14:paraId="7A849FD5"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14.238</w:t>
            </w:r>
          </w:p>
        </w:tc>
        <w:tc>
          <w:tcPr>
            <w:tcW w:w="567" w:type="dxa"/>
            <w:shd w:val="clear" w:color="auto" w:fill="FFFFFF"/>
          </w:tcPr>
          <w:p w14:paraId="4CF4ACA2" w14:textId="77777777" w:rsidR="000C5B55" w:rsidRPr="000C5B55" w:rsidRDefault="000C5B55" w:rsidP="000C5B55">
            <w:pPr>
              <w:adjustRightInd w:val="0"/>
              <w:spacing w:before="0" w:after="0" w:line="240" w:lineRule="auto"/>
              <w:rPr>
                <w:color w:val="000000" w:themeColor="text1"/>
                <w:sz w:val="18"/>
                <w:szCs w:val="18"/>
              </w:rPr>
            </w:pPr>
          </w:p>
        </w:tc>
        <w:tc>
          <w:tcPr>
            <w:tcW w:w="709" w:type="dxa"/>
            <w:shd w:val="clear" w:color="auto" w:fill="FFFFFF"/>
          </w:tcPr>
          <w:p w14:paraId="618F9F3D" w14:textId="77777777" w:rsidR="000C5B55" w:rsidRPr="000C5B55" w:rsidRDefault="000C5B55" w:rsidP="000C5B55">
            <w:pPr>
              <w:adjustRightInd w:val="0"/>
              <w:spacing w:before="0" w:after="0" w:line="240" w:lineRule="auto"/>
              <w:rPr>
                <w:color w:val="000000" w:themeColor="text1"/>
                <w:sz w:val="18"/>
                <w:szCs w:val="18"/>
              </w:rPr>
            </w:pPr>
          </w:p>
        </w:tc>
      </w:tr>
      <w:tr w:rsidR="000C5B55" w:rsidRPr="000C5B55" w14:paraId="043FAF64" w14:textId="77777777" w:rsidTr="000C5B55">
        <w:trPr>
          <w:cantSplit/>
          <w:jc w:val="center"/>
        </w:trPr>
        <w:tc>
          <w:tcPr>
            <w:tcW w:w="1254" w:type="dxa"/>
            <w:shd w:val="clear" w:color="auto" w:fill="FFFFFF"/>
            <w:vAlign w:val="center"/>
            <w:hideMark/>
          </w:tcPr>
          <w:p w14:paraId="78AE5120" w14:textId="77777777" w:rsidR="000C5B55" w:rsidRPr="000C5B55" w:rsidRDefault="000C5B55" w:rsidP="000C5B55">
            <w:pPr>
              <w:adjustRightInd w:val="0"/>
              <w:spacing w:before="0" w:after="0" w:line="240" w:lineRule="auto"/>
              <w:ind w:left="60" w:right="60"/>
              <w:rPr>
                <w:color w:val="000000" w:themeColor="text1"/>
                <w:sz w:val="18"/>
                <w:szCs w:val="18"/>
              </w:rPr>
            </w:pPr>
            <w:r w:rsidRPr="000C5B55">
              <w:rPr>
                <w:color w:val="000000" w:themeColor="text1"/>
                <w:sz w:val="18"/>
                <w:szCs w:val="18"/>
              </w:rPr>
              <w:t>Total</w:t>
            </w:r>
          </w:p>
        </w:tc>
        <w:tc>
          <w:tcPr>
            <w:tcW w:w="838" w:type="dxa"/>
            <w:shd w:val="clear" w:color="auto" w:fill="FFFFFF"/>
            <w:vAlign w:val="center"/>
            <w:hideMark/>
          </w:tcPr>
          <w:p w14:paraId="526B39F3"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5605.864</w:t>
            </w:r>
          </w:p>
        </w:tc>
        <w:tc>
          <w:tcPr>
            <w:tcW w:w="405" w:type="dxa"/>
            <w:shd w:val="clear" w:color="auto" w:fill="FFFFFF"/>
            <w:vAlign w:val="center"/>
            <w:hideMark/>
          </w:tcPr>
          <w:p w14:paraId="769B0CE5" w14:textId="77777777" w:rsidR="000C5B55" w:rsidRPr="000C5B55" w:rsidRDefault="000C5B55" w:rsidP="000C5B55">
            <w:pPr>
              <w:adjustRightInd w:val="0"/>
              <w:spacing w:before="0" w:after="0" w:line="240" w:lineRule="auto"/>
              <w:ind w:left="60" w:right="60"/>
              <w:jc w:val="center"/>
              <w:rPr>
                <w:color w:val="000000" w:themeColor="text1"/>
                <w:sz w:val="18"/>
                <w:szCs w:val="18"/>
              </w:rPr>
            </w:pPr>
            <w:r w:rsidRPr="000C5B55">
              <w:rPr>
                <w:color w:val="000000" w:themeColor="text1"/>
                <w:sz w:val="18"/>
                <w:szCs w:val="18"/>
              </w:rPr>
              <w:t>359</w:t>
            </w:r>
          </w:p>
        </w:tc>
        <w:tc>
          <w:tcPr>
            <w:tcW w:w="744" w:type="dxa"/>
            <w:shd w:val="clear" w:color="auto" w:fill="FFFFFF"/>
          </w:tcPr>
          <w:p w14:paraId="354AA36E" w14:textId="77777777" w:rsidR="000C5B55" w:rsidRPr="000C5B55" w:rsidRDefault="000C5B55" w:rsidP="000C5B55">
            <w:pPr>
              <w:adjustRightInd w:val="0"/>
              <w:spacing w:before="0" w:after="0" w:line="240" w:lineRule="auto"/>
              <w:rPr>
                <w:color w:val="000000" w:themeColor="text1"/>
                <w:sz w:val="18"/>
                <w:szCs w:val="18"/>
              </w:rPr>
            </w:pPr>
          </w:p>
        </w:tc>
        <w:tc>
          <w:tcPr>
            <w:tcW w:w="567" w:type="dxa"/>
            <w:shd w:val="clear" w:color="auto" w:fill="FFFFFF"/>
          </w:tcPr>
          <w:p w14:paraId="0B6C7EB8" w14:textId="77777777" w:rsidR="000C5B55" w:rsidRPr="000C5B55" w:rsidRDefault="000C5B55" w:rsidP="000C5B55">
            <w:pPr>
              <w:adjustRightInd w:val="0"/>
              <w:spacing w:before="0" w:after="0" w:line="240" w:lineRule="auto"/>
              <w:rPr>
                <w:color w:val="000000" w:themeColor="text1"/>
                <w:sz w:val="18"/>
                <w:szCs w:val="18"/>
              </w:rPr>
            </w:pPr>
          </w:p>
        </w:tc>
        <w:tc>
          <w:tcPr>
            <w:tcW w:w="709" w:type="dxa"/>
            <w:shd w:val="clear" w:color="auto" w:fill="FFFFFF"/>
          </w:tcPr>
          <w:p w14:paraId="5C45FE75" w14:textId="77777777" w:rsidR="000C5B55" w:rsidRPr="000C5B55" w:rsidRDefault="000C5B55" w:rsidP="000C5B55">
            <w:pPr>
              <w:adjustRightInd w:val="0"/>
              <w:spacing w:before="0" w:after="0" w:line="240" w:lineRule="auto"/>
              <w:rPr>
                <w:color w:val="000000" w:themeColor="text1"/>
                <w:sz w:val="18"/>
                <w:szCs w:val="18"/>
              </w:rPr>
            </w:pPr>
          </w:p>
        </w:tc>
      </w:tr>
    </w:tbl>
    <w:p w14:paraId="1A383D7D" w14:textId="77777777" w:rsidR="000C5B55" w:rsidRPr="00CE7628" w:rsidRDefault="000C5B55" w:rsidP="000C5B55">
      <w:pPr>
        <w:spacing w:before="0" w:after="0" w:line="240" w:lineRule="auto"/>
        <w:ind w:left="284" w:right="209" w:firstLine="425"/>
        <w:rPr>
          <w:rFonts w:ascii="Arial" w:hAnsi="Arial" w:cs="Arial"/>
          <w:color w:val="000000" w:themeColor="text1"/>
          <w:sz w:val="18"/>
          <w:szCs w:val="18"/>
          <w:lang w:val="id-ID"/>
        </w:rPr>
      </w:pPr>
    </w:p>
    <w:p w14:paraId="36F60962" w14:textId="7A3C3E4A" w:rsidR="000C5B55" w:rsidRDefault="000C5B55" w:rsidP="000C5B55">
      <w:pPr>
        <w:kinsoku w:val="0"/>
        <w:overflowPunct w:val="0"/>
        <w:autoSpaceDE w:val="0"/>
        <w:autoSpaceDN w:val="0"/>
        <w:spacing w:before="0" w:after="0" w:line="240" w:lineRule="auto"/>
        <w:ind w:firstLine="284"/>
        <w:rPr>
          <w:color w:val="000000" w:themeColor="text1"/>
          <w:sz w:val="22"/>
          <w:szCs w:val="22"/>
          <w:lang w:val="id-ID"/>
        </w:rPr>
      </w:pPr>
      <w:r w:rsidRPr="000C5B55">
        <w:rPr>
          <w:color w:val="000000" w:themeColor="text1"/>
          <w:sz w:val="22"/>
          <w:szCs w:val="22"/>
          <w:lang w:val="id-ID"/>
        </w:rPr>
        <w:t>The data in Table 3 shows the Sig</w:t>
      </w:r>
      <w:r w:rsidR="00E75B53">
        <w:rPr>
          <w:color w:val="000000" w:themeColor="text1"/>
          <w:sz w:val="22"/>
          <w:szCs w:val="22"/>
          <w:lang w:val="en-US"/>
        </w:rPr>
        <w:t>.</w:t>
      </w:r>
      <w:r w:rsidRPr="000C5B55">
        <w:rPr>
          <w:color w:val="000000" w:themeColor="text1"/>
          <w:sz w:val="22"/>
          <w:szCs w:val="22"/>
          <w:lang w:val="id-ID"/>
        </w:rPr>
        <w:t xml:space="preserve"> value amounting to 0,000. This value is below the α value, namely 0.05. It can be said that all factors have a significant effect on the switching behavior. This result is in accordance with the statement that there are several factors behind the consumer switching, namely 1) price considerations; 2) reputation; 3) quality of service; 4) promotion; 5) products; 6) location; 7) profit; 8) coercion; and 9) recommendations from other customers </w:t>
      </w:r>
      <w:r w:rsidR="00C70AD2">
        <w:rPr>
          <w:color w:val="000000" w:themeColor="text1"/>
          <w:sz w:val="22"/>
          <w:szCs w:val="22"/>
          <w:lang w:val="en-US"/>
        </w:rPr>
        <w:t>[9, 19,</w:t>
      </w:r>
      <w:r w:rsidRPr="000C5B55">
        <w:rPr>
          <w:color w:val="000000" w:themeColor="text1"/>
          <w:sz w:val="22"/>
          <w:szCs w:val="22"/>
          <w:lang w:val="id-ID"/>
        </w:rPr>
        <w:t xml:space="preserve"> </w:t>
      </w:r>
      <w:r w:rsidR="00C70AD2">
        <w:rPr>
          <w:color w:val="000000" w:themeColor="text1"/>
          <w:sz w:val="22"/>
          <w:szCs w:val="22"/>
          <w:lang w:val="en-US"/>
        </w:rPr>
        <w:t>20,</w:t>
      </w:r>
      <w:r w:rsidRPr="000C5B55">
        <w:rPr>
          <w:color w:val="000000" w:themeColor="text1"/>
          <w:sz w:val="22"/>
          <w:szCs w:val="22"/>
          <w:lang w:val="id-ID"/>
        </w:rPr>
        <w:t xml:space="preserve"> </w:t>
      </w:r>
      <w:r w:rsidR="00C70AD2">
        <w:rPr>
          <w:color w:val="000000" w:themeColor="text1"/>
          <w:sz w:val="22"/>
          <w:szCs w:val="22"/>
          <w:lang w:val="en-US"/>
        </w:rPr>
        <w:t>21,</w:t>
      </w:r>
      <w:r w:rsidRPr="000C5B55">
        <w:rPr>
          <w:color w:val="000000" w:themeColor="text1"/>
          <w:sz w:val="22"/>
          <w:szCs w:val="22"/>
          <w:lang w:val="id-ID"/>
        </w:rPr>
        <w:t xml:space="preserve"> </w:t>
      </w:r>
      <w:r w:rsidR="00C70AD2">
        <w:rPr>
          <w:color w:val="000000" w:themeColor="text1"/>
          <w:sz w:val="22"/>
          <w:szCs w:val="22"/>
          <w:lang w:val="en-US"/>
        </w:rPr>
        <w:t>22,</w:t>
      </w:r>
      <w:r w:rsidRPr="000C5B55">
        <w:rPr>
          <w:color w:val="000000" w:themeColor="text1"/>
          <w:sz w:val="22"/>
          <w:szCs w:val="22"/>
          <w:lang w:val="id-ID"/>
        </w:rPr>
        <w:t xml:space="preserve"> </w:t>
      </w:r>
      <w:r w:rsidR="004223CE">
        <w:rPr>
          <w:color w:val="000000" w:themeColor="text1"/>
          <w:sz w:val="22"/>
          <w:szCs w:val="22"/>
          <w:lang w:val="en-US"/>
        </w:rPr>
        <w:t>25,</w:t>
      </w:r>
      <w:r w:rsidRPr="000C5B55">
        <w:rPr>
          <w:color w:val="000000" w:themeColor="text1"/>
          <w:sz w:val="22"/>
          <w:szCs w:val="22"/>
          <w:lang w:val="id-ID"/>
        </w:rPr>
        <w:t xml:space="preserve"> </w:t>
      </w:r>
      <w:r w:rsidR="004223CE">
        <w:rPr>
          <w:color w:val="000000" w:themeColor="text1"/>
          <w:sz w:val="22"/>
          <w:szCs w:val="22"/>
          <w:lang w:val="en-US"/>
        </w:rPr>
        <w:t>36]</w:t>
      </w:r>
      <w:r w:rsidRPr="000C5B55">
        <w:rPr>
          <w:color w:val="000000" w:themeColor="text1"/>
          <w:sz w:val="22"/>
          <w:szCs w:val="22"/>
          <w:lang w:val="id-ID"/>
        </w:rPr>
        <w:t>. The results of the interview also show that in general all customers take these nine factors into consideration in choosing Islamic banking services over conventional banks.</w:t>
      </w:r>
    </w:p>
    <w:p w14:paraId="3D7DB861" w14:textId="402B4B04" w:rsidR="000C5B55" w:rsidRPr="000C5B55" w:rsidRDefault="000C5B55" w:rsidP="000C5B55">
      <w:pPr>
        <w:kinsoku w:val="0"/>
        <w:overflowPunct w:val="0"/>
        <w:autoSpaceDE w:val="0"/>
        <w:autoSpaceDN w:val="0"/>
        <w:spacing w:before="0" w:after="0" w:line="240" w:lineRule="auto"/>
        <w:ind w:firstLine="284"/>
        <w:rPr>
          <w:color w:val="000000" w:themeColor="text1"/>
          <w:sz w:val="22"/>
          <w:szCs w:val="22"/>
          <w:lang w:val="id-ID"/>
        </w:rPr>
      </w:pPr>
      <w:r w:rsidRPr="000C5B55">
        <w:rPr>
          <w:color w:val="000000" w:themeColor="text1"/>
          <w:sz w:val="22"/>
          <w:szCs w:val="22"/>
          <w:lang w:val="id-ID"/>
        </w:rPr>
        <w:t xml:space="preserve">To see which factors have the most influence, further statistical analysis is needed. Post hoc analysis is required to provide this information. </w:t>
      </w:r>
      <w:r w:rsidRPr="000C5B55">
        <w:rPr>
          <w:color w:val="000000" w:themeColor="text1"/>
          <w:sz w:val="22"/>
          <w:szCs w:val="22"/>
        </w:rPr>
        <w:t>The results of the Post Hoc Test in Table 4 provide information that in fact, of the nine factors, the recommendation factor</w:t>
      </w:r>
      <w:r w:rsidRPr="000C5B55">
        <w:rPr>
          <w:color w:val="000000" w:themeColor="text1"/>
          <w:sz w:val="22"/>
          <w:szCs w:val="22"/>
          <w:lang w:val="id-ID"/>
        </w:rPr>
        <w:t xml:space="preserve"> </w:t>
      </w:r>
      <w:r w:rsidRPr="000C5B55">
        <w:rPr>
          <w:color w:val="000000" w:themeColor="text1"/>
          <w:sz w:val="22"/>
          <w:szCs w:val="22"/>
        </w:rPr>
        <w:t xml:space="preserve">from other customers is the factor that most influences the switching </w:t>
      </w:r>
      <w:proofErr w:type="spellStart"/>
      <w:r w:rsidRPr="000C5B55">
        <w:rPr>
          <w:color w:val="000000" w:themeColor="text1"/>
          <w:sz w:val="22"/>
          <w:szCs w:val="22"/>
        </w:rPr>
        <w:t>behavior</w:t>
      </w:r>
      <w:proofErr w:type="spellEnd"/>
      <w:r w:rsidRPr="000C5B55">
        <w:rPr>
          <w:color w:val="000000" w:themeColor="text1"/>
          <w:sz w:val="22"/>
          <w:szCs w:val="22"/>
        </w:rPr>
        <w:t xml:space="preserve">. </w:t>
      </w:r>
      <w:r w:rsidR="00D65A34" w:rsidRPr="00D65A34">
        <w:rPr>
          <w:color w:val="000000" w:themeColor="text1"/>
          <w:sz w:val="22"/>
          <w:szCs w:val="22"/>
          <w:highlight w:val="yellow"/>
        </w:rPr>
        <w:t>This can be seen from the significance value of other factors which are below 0.05. When the significance value is below the α value (0.05), it can be said that this aspect has a significant influence [30].</w:t>
      </w:r>
      <w:r w:rsidR="00D65A34">
        <w:rPr>
          <w:color w:val="000000" w:themeColor="text1"/>
          <w:sz w:val="22"/>
          <w:szCs w:val="22"/>
        </w:rPr>
        <w:t xml:space="preserve"> </w:t>
      </w:r>
      <w:r w:rsidRPr="000C5B55">
        <w:rPr>
          <w:color w:val="000000" w:themeColor="text1"/>
          <w:sz w:val="22"/>
          <w:szCs w:val="22"/>
        </w:rPr>
        <w:t>Digging</w:t>
      </w:r>
      <w:r w:rsidRPr="000C5B55">
        <w:rPr>
          <w:color w:val="000000" w:themeColor="text1"/>
          <w:sz w:val="22"/>
          <w:szCs w:val="22"/>
          <w:lang w:val="id-ID"/>
        </w:rPr>
        <w:t xml:space="preserve"> </w:t>
      </w:r>
      <w:r w:rsidRPr="000C5B55">
        <w:rPr>
          <w:color w:val="000000" w:themeColor="text1"/>
          <w:sz w:val="22"/>
          <w:szCs w:val="22"/>
        </w:rPr>
        <w:t>deeper information is needed to confirm these data by conducting interviews with participants. The results of the interview provide an illustration that it turns out that they moved to Islamic banks because of invitations from friends, relatives, and even family who had already become customers of Islamic banks. They actually do not know much about the Islamic banking</w:t>
      </w:r>
      <w:r w:rsidRPr="000C5B55">
        <w:rPr>
          <w:color w:val="000000" w:themeColor="text1"/>
          <w:sz w:val="22"/>
          <w:szCs w:val="22"/>
          <w:lang w:val="id-ID"/>
        </w:rPr>
        <w:t xml:space="preserve"> </w:t>
      </w:r>
      <w:r w:rsidRPr="000C5B55">
        <w:rPr>
          <w:color w:val="000000" w:themeColor="text1"/>
          <w:sz w:val="22"/>
          <w:szCs w:val="22"/>
        </w:rPr>
        <w:t xml:space="preserve">system, even though they know that Islamic banks are banks specifically for Muslims. However, other information has also been obtained, where the information they get from other customers is related </w:t>
      </w:r>
    </w:p>
    <w:p w14:paraId="6D61B6CC" w14:textId="77777777" w:rsidR="00D923A9" w:rsidRDefault="00D923A9" w:rsidP="00D65A34">
      <w:pPr>
        <w:spacing w:after="0" w:line="240" w:lineRule="auto"/>
        <w:ind w:right="209"/>
        <w:rPr>
          <w:b/>
          <w:color w:val="000000" w:themeColor="text1"/>
          <w:sz w:val="20"/>
          <w:szCs w:val="20"/>
          <w:lang w:val="id-ID"/>
        </w:rPr>
        <w:sectPr w:rsidR="00D923A9" w:rsidSect="007E5C9C">
          <w:type w:val="continuous"/>
          <w:pgSz w:w="11906" w:h="16838"/>
          <w:pgMar w:top="1418" w:right="1021" w:bottom="1418" w:left="1021" w:header="720" w:footer="720" w:gutter="0"/>
          <w:cols w:num="2" w:space="567"/>
          <w:titlePg/>
        </w:sectPr>
      </w:pPr>
    </w:p>
    <w:p w14:paraId="654DBF6B" w14:textId="490F5CA3" w:rsidR="000C5B55" w:rsidRPr="000C5B55" w:rsidRDefault="000C5B55" w:rsidP="000C5B55">
      <w:pPr>
        <w:spacing w:after="0" w:line="240" w:lineRule="auto"/>
        <w:ind w:right="209"/>
        <w:jc w:val="center"/>
        <w:rPr>
          <w:color w:val="000000" w:themeColor="text1"/>
          <w:sz w:val="20"/>
          <w:szCs w:val="20"/>
          <w:lang w:val="id-ID"/>
        </w:rPr>
      </w:pPr>
      <w:r w:rsidRPr="000C5B55">
        <w:rPr>
          <w:b/>
          <w:color w:val="000000" w:themeColor="text1"/>
          <w:sz w:val="20"/>
          <w:szCs w:val="20"/>
          <w:lang w:val="id-ID"/>
        </w:rPr>
        <w:lastRenderedPageBreak/>
        <w:t>Table 4:</w:t>
      </w:r>
      <w:r w:rsidRPr="000C5B55">
        <w:rPr>
          <w:color w:val="000000" w:themeColor="text1"/>
          <w:sz w:val="20"/>
          <w:szCs w:val="20"/>
          <w:lang w:val="id-ID"/>
        </w:rPr>
        <w:t xml:space="preserve"> Post Hoc Analysis Results About Factors Affecting Switching Behavior</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2525"/>
        <w:gridCol w:w="1226"/>
        <w:gridCol w:w="1038"/>
        <w:gridCol w:w="692"/>
        <w:gridCol w:w="1339"/>
        <w:gridCol w:w="1388"/>
      </w:tblGrid>
      <w:tr w:rsidR="00D923A9" w:rsidRPr="00D923A9" w14:paraId="457436FA" w14:textId="77777777" w:rsidTr="00D923A9">
        <w:trPr>
          <w:cantSplit/>
          <w:jc w:val="center"/>
        </w:trPr>
        <w:tc>
          <w:tcPr>
            <w:tcW w:w="1420" w:type="dxa"/>
            <w:vMerge w:val="restart"/>
            <w:shd w:val="clear" w:color="auto" w:fill="FFFFFF"/>
            <w:vAlign w:val="center"/>
            <w:hideMark/>
          </w:tcPr>
          <w:p w14:paraId="72B55B23"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(I) Fa</w:t>
            </w:r>
            <w:r w:rsidRPr="00D923A9">
              <w:rPr>
                <w:b/>
                <w:color w:val="000000" w:themeColor="text1"/>
                <w:sz w:val="16"/>
                <w:szCs w:val="16"/>
                <w:lang w:val="id-ID"/>
              </w:rPr>
              <w:t>c</w:t>
            </w:r>
            <w:r w:rsidRPr="00D923A9">
              <w:rPr>
                <w:b/>
                <w:color w:val="000000" w:themeColor="text1"/>
                <w:sz w:val="16"/>
                <w:szCs w:val="16"/>
              </w:rPr>
              <w:t>tor</w:t>
            </w:r>
          </w:p>
        </w:tc>
        <w:tc>
          <w:tcPr>
            <w:tcW w:w="2525" w:type="dxa"/>
            <w:vMerge w:val="restart"/>
            <w:shd w:val="clear" w:color="auto" w:fill="FFFFFF"/>
            <w:vAlign w:val="center"/>
            <w:hideMark/>
          </w:tcPr>
          <w:p w14:paraId="327643CE"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(J) Fa</w:t>
            </w:r>
            <w:r w:rsidRPr="00D923A9">
              <w:rPr>
                <w:b/>
                <w:color w:val="000000" w:themeColor="text1"/>
                <w:sz w:val="16"/>
                <w:szCs w:val="16"/>
                <w:lang w:val="id-ID"/>
              </w:rPr>
              <w:t>c</w:t>
            </w:r>
            <w:r w:rsidRPr="00D923A9">
              <w:rPr>
                <w:b/>
                <w:color w:val="000000" w:themeColor="text1"/>
                <w:sz w:val="16"/>
                <w:szCs w:val="16"/>
              </w:rPr>
              <w:t>tor</w:t>
            </w:r>
          </w:p>
        </w:tc>
        <w:tc>
          <w:tcPr>
            <w:tcW w:w="1226" w:type="dxa"/>
            <w:vMerge w:val="restart"/>
            <w:shd w:val="clear" w:color="auto" w:fill="FFFFFF"/>
            <w:vAlign w:val="center"/>
            <w:hideMark/>
          </w:tcPr>
          <w:p w14:paraId="7E13F380"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Mean Difference (I-J)</w:t>
            </w:r>
          </w:p>
        </w:tc>
        <w:tc>
          <w:tcPr>
            <w:tcW w:w="1038" w:type="dxa"/>
            <w:vMerge w:val="restart"/>
            <w:shd w:val="clear" w:color="auto" w:fill="FFFFFF"/>
            <w:vAlign w:val="center"/>
            <w:hideMark/>
          </w:tcPr>
          <w:p w14:paraId="5E716225"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Std. Error</w:t>
            </w:r>
          </w:p>
        </w:tc>
        <w:tc>
          <w:tcPr>
            <w:tcW w:w="692" w:type="dxa"/>
            <w:vMerge w:val="restart"/>
            <w:shd w:val="clear" w:color="auto" w:fill="FFFFFF"/>
            <w:vAlign w:val="center"/>
            <w:hideMark/>
          </w:tcPr>
          <w:p w14:paraId="3ECF0DF7"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Sig.</w:t>
            </w:r>
          </w:p>
        </w:tc>
        <w:tc>
          <w:tcPr>
            <w:tcW w:w="2727" w:type="dxa"/>
            <w:gridSpan w:val="2"/>
            <w:shd w:val="clear" w:color="auto" w:fill="FFFFFF"/>
            <w:vAlign w:val="center"/>
            <w:hideMark/>
          </w:tcPr>
          <w:p w14:paraId="2857A57B"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95% Confidence Interval</w:t>
            </w:r>
          </w:p>
        </w:tc>
      </w:tr>
      <w:tr w:rsidR="00D923A9" w:rsidRPr="00D923A9" w14:paraId="29EB7C93" w14:textId="77777777" w:rsidTr="00D923A9">
        <w:trPr>
          <w:cantSplit/>
          <w:jc w:val="center"/>
        </w:trPr>
        <w:tc>
          <w:tcPr>
            <w:tcW w:w="1420" w:type="dxa"/>
            <w:vMerge/>
            <w:vAlign w:val="center"/>
            <w:hideMark/>
          </w:tcPr>
          <w:p w14:paraId="166DDFC0" w14:textId="77777777" w:rsidR="000C5B55" w:rsidRPr="00D923A9" w:rsidRDefault="000C5B55" w:rsidP="00D923A9">
            <w:pPr>
              <w:spacing w:before="0" w:after="0" w:line="240" w:lineRule="auto"/>
              <w:rPr>
                <w:b/>
                <w:color w:val="000000" w:themeColor="text1"/>
                <w:sz w:val="16"/>
                <w:szCs w:val="16"/>
              </w:rPr>
            </w:pPr>
          </w:p>
        </w:tc>
        <w:tc>
          <w:tcPr>
            <w:tcW w:w="2525" w:type="dxa"/>
            <w:vMerge/>
            <w:vAlign w:val="center"/>
            <w:hideMark/>
          </w:tcPr>
          <w:p w14:paraId="102D94CE" w14:textId="77777777" w:rsidR="000C5B55" w:rsidRPr="00D923A9" w:rsidRDefault="000C5B55" w:rsidP="00D923A9">
            <w:pPr>
              <w:spacing w:before="0" w:after="0" w:line="240" w:lineRule="auto"/>
              <w:rPr>
                <w:b/>
                <w:color w:val="000000" w:themeColor="text1"/>
                <w:sz w:val="16"/>
                <w:szCs w:val="16"/>
              </w:rPr>
            </w:pPr>
          </w:p>
        </w:tc>
        <w:tc>
          <w:tcPr>
            <w:tcW w:w="1226" w:type="dxa"/>
            <w:vMerge/>
            <w:vAlign w:val="center"/>
            <w:hideMark/>
          </w:tcPr>
          <w:p w14:paraId="3FB26453" w14:textId="77777777" w:rsidR="000C5B55" w:rsidRPr="00D923A9" w:rsidRDefault="000C5B55" w:rsidP="00D923A9">
            <w:pPr>
              <w:spacing w:before="0" w:after="0" w:line="240" w:lineRule="auto"/>
              <w:rPr>
                <w:b/>
                <w:color w:val="000000" w:themeColor="text1"/>
                <w:sz w:val="16"/>
                <w:szCs w:val="16"/>
              </w:rPr>
            </w:pPr>
          </w:p>
        </w:tc>
        <w:tc>
          <w:tcPr>
            <w:tcW w:w="1038" w:type="dxa"/>
            <w:vMerge/>
            <w:vAlign w:val="center"/>
            <w:hideMark/>
          </w:tcPr>
          <w:p w14:paraId="39BF948D" w14:textId="77777777" w:rsidR="000C5B55" w:rsidRPr="00D923A9" w:rsidRDefault="000C5B55" w:rsidP="00D923A9">
            <w:pPr>
              <w:spacing w:before="0" w:after="0" w:line="240" w:lineRule="auto"/>
              <w:rPr>
                <w:b/>
                <w:color w:val="000000" w:themeColor="text1"/>
                <w:sz w:val="16"/>
                <w:szCs w:val="16"/>
              </w:rPr>
            </w:pPr>
          </w:p>
        </w:tc>
        <w:tc>
          <w:tcPr>
            <w:tcW w:w="692" w:type="dxa"/>
            <w:vMerge/>
            <w:vAlign w:val="center"/>
            <w:hideMark/>
          </w:tcPr>
          <w:p w14:paraId="05B2BB3F" w14:textId="77777777" w:rsidR="000C5B55" w:rsidRPr="00D923A9" w:rsidRDefault="000C5B55" w:rsidP="00D923A9">
            <w:pPr>
              <w:spacing w:before="0" w:after="0" w:line="240" w:lineRule="auto"/>
              <w:rPr>
                <w:b/>
                <w:color w:val="000000" w:themeColor="text1"/>
                <w:sz w:val="16"/>
                <w:szCs w:val="16"/>
              </w:rPr>
            </w:pPr>
          </w:p>
        </w:tc>
        <w:tc>
          <w:tcPr>
            <w:tcW w:w="1339" w:type="dxa"/>
            <w:shd w:val="clear" w:color="auto" w:fill="FFFFFF"/>
            <w:vAlign w:val="center"/>
            <w:hideMark/>
          </w:tcPr>
          <w:p w14:paraId="34C60115"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Lower Bound</w:t>
            </w:r>
          </w:p>
        </w:tc>
        <w:tc>
          <w:tcPr>
            <w:tcW w:w="1388" w:type="dxa"/>
            <w:shd w:val="clear" w:color="auto" w:fill="FFFFFF"/>
            <w:vAlign w:val="center"/>
            <w:hideMark/>
          </w:tcPr>
          <w:p w14:paraId="2B244804" w14:textId="77777777" w:rsidR="000C5B55" w:rsidRPr="00D923A9" w:rsidRDefault="000C5B55" w:rsidP="00D923A9">
            <w:pPr>
              <w:adjustRightInd w:val="0"/>
              <w:spacing w:before="0" w:after="0" w:line="240" w:lineRule="auto"/>
              <w:ind w:left="60" w:right="60"/>
              <w:jc w:val="center"/>
              <w:rPr>
                <w:b/>
                <w:color w:val="000000" w:themeColor="text1"/>
                <w:sz w:val="16"/>
                <w:szCs w:val="16"/>
              </w:rPr>
            </w:pPr>
            <w:r w:rsidRPr="00D923A9">
              <w:rPr>
                <w:b/>
                <w:color w:val="000000" w:themeColor="text1"/>
                <w:sz w:val="16"/>
                <w:szCs w:val="16"/>
              </w:rPr>
              <w:t>Upper Bound</w:t>
            </w:r>
          </w:p>
        </w:tc>
      </w:tr>
      <w:tr w:rsidR="00D923A9" w:rsidRPr="00D923A9" w14:paraId="26D5FDB0" w14:textId="77777777" w:rsidTr="00D923A9">
        <w:trPr>
          <w:cantSplit/>
          <w:jc w:val="center"/>
        </w:trPr>
        <w:tc>
          <w:tcPr>
            <w:tcW w:w="1420" w:type="dxa"/>
            <w:vMerge w:val="restart"/>
            <w:shd w:val="clear" w:color="auto" w:fill="FFFFFF"/>
            <w:vAlign w:val="center"/>
            <w:hideMark/>
          </w:tcPr>
          <w:p w14:paraId="4A16D2F1"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2525" w:type="dxa"/>
            <w:shd w:val="clear" w:color="auto" w:fill="FFFFFF"/>
            <w:vAlign w:val="center"/>
            <w:hideMark/>
          </w:tcPr>
          <w:p w14:paraId="68A7429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73B268E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1E7056A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6B8A5D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04C0431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c>
          <w:tcPr>
            <w:tcW w:w="1388" w:type="dxa"/>
            <w:shd w:val="clear" w:color="auto" w:fill="FFFFFF"/>
            <w:vAlign w:val="center"/>
            <w:hideMark/>
          </w:tcPr>
          <w:p w14:paraId="5EDB86F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r>
      <w:tr w:rsidR="00D923A9" w:rsidRPr="00D923A9" w14:paraId="332079BF" w14:textId="77777777" w:rsidTr="00D923A9">
        <w:trPr>
          <w:cantSplit/>
          <w:jc w:val="center"/>
        </w:trPr>
        <w:tc>
          <w:tcPr>
            <w:tcW w:w="1420" w:type="dxa"/>
            <w:vMerge/>
            <w:vAlign w:val="center"/>
            <w:hideMark/>
          </w:tcPr>
          <w:p w14:paraId="7A720CBF"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45FE3FE"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6DBA2A4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1.40000</w:t>
            </w:r>
          </w:p>
        </w:tc>
        <w:tc>
          <w:tcPr>
            <w:tcW w:w="1038" w:type="dxa"/>
            <w:shd w:val="clear" w:color="auto" w:fill="FFFFFF"/>
            <w:vAlign w:val="center"/>
            <w:hideMark/>
          </w:tcPr>
          <w:p w14:paraId="19F445E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B296DD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.771</w:t>
            </w:r>
          </w:p>
        </w:tc>
        <w:tc>
          <w:tcPr>
            <w:tcW w:w="1339" w:type="dxa"/>
            <w:shd w:val="clear" w:color="auto" w:fill="FFFFFF"/>
            <w:vAlign w:val="center"/>
            <w:hideMark/>
          </w:tcPr>
          <w:p w14:paraId="0F67347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-1.2335</w:t>
            </w:r>
          </w:p>
        </w:tc>
        <w:tc>
          <w:tcPr>
            <w:tcW w:w="1388" w:type="dxa"/>
            <w:shd w:val="clear" w:color="auto" w:fill="FFFFFF"/>
            <w:vAlign w:val="center"/>
            <w:hideMark/>
          </w:tcPr>
          <w:p w14:paraId="0555440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4.0335</w:t>
            </w:r>
          </w:p>
        </w:tc>
      </w:tr>
      <w:tr w:rsidR="00D923A9" w:rsidRPr="00D923A9" w14:paraId="00502373" w14:textId="77777777" w:rsidTr="00D923A9">
        <w:trPr>
          <w:cantSplit/>
          <w:jc w:val="center"/>
        </w:trPr>
        <w:tc>
          <w:tcPr>
            <w:tcW w:w="1420" w:type="dxa"/>
            <w:vMerge/>
            <w:vAlign w:val="center"/>
            <w:hideMark/>
          </w:tcPr>
          <w:p w14:paraId="7FEB51C0"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1AC29E4"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44CFBC1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1.12500</w:t>
            </w:r>
          </w:p>
        </w:tc>
        <w:tc>
          <w:tcPr>
            <w:tcW w:w="1038" w:type="dxa"/>
            <w:shd w:val="clear" w:color="auto" w:fill="FFFFFF"/>
            <w:vAlign w:val="center"/>
            <w:hideMark/>
          </w:tcPr>
          <w:p w14:paraId="7070656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2EFDC9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.921</w:t>
            </w:r>
          </w:p>
        </w:tc>
        <w:tc>
          <w:tcPr>
            <w:tcW w:w="1339" w:type="dxa"/>
            <w:shd w:val="clear" w:color="auto" w:fill="FFFFFF"/>
            <w:vAlign w:val="center"/>
            <w:hideMark/>
          </w:tcPr>
          <w:p w14:paraId="66EF60F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-1.5085</w:t>
            </w:r>
          </w:p>
        </w:tc>
        <w:tc>
          <w:tcPr>
            <w:tcW w:w="1388" w:type="dxa"/>
            <w:shd w:val="clear" w:color="auto" w:fill="FFFFFF"/>
            <w:vAlign w:val="center"/>
            <w:hideMark/>
          </w:tcPr>
          <w:p w14:paraId="08675C6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3.7585</w:t>
            </w:r>
          </w:p>
        </w:tc>
      </w:tr>
      <w:tr w:rsidR="00D923A9" w:rsidRPr="00D923A9" w14:paraId="400450EA" w14:textId="77777777" w:rsidTr="00D923A9">
        <w:trPr>
          <w:cantSplit/>
          <w:jc w:val="center"/>
        </w:trPr>
        <w:tc>
          <w:tcPr>
            <w:tcW w:w="1420" w:type="dxa"/>
            <w:vMerge/>
            <w:vAlign w:val="center"/>
            <w:hideMark/>
          </w:tcPr>
          <w:p w14:paraId="1D6CB252"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E01A87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50A8B9B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1.52500</w:t>
            </w:r>
          </w:p>
        </w:tc>
        <w:tc>
          <w:tcPr>
            <w:tcW w:w="1038" w:type="dxa"/>
            <w:shd w:val="clear" w:color="auto" w:fill="FFFFFF"/>
            <w:vAlign w:val="center"/>
            <w:hideMark/>
          </w:tcPr>
          <w:p w14:paraId="73E89AD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D88CDE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.677</w:t>
            </w:r>
          </w:p>
        </w:tc>
        <w:tc>
          <w:tcPr>
            <w:tcW w:w="1339" w:type="dxa"/>
            <w:shd w:val="clear" w:color="auto" w:fill="FFFFFF"/>
            <w:vAlign w:val="center"/>
            <w:hideMark/>
          </w:tcPr>
          <w:p w14:paraId="4450A9F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-1.1085</w:t>
            </w:r>
          </w:p>
        </w:tc>
        <w:tc>
          <w:tcPr>
            <w:tcW w:w="1388" w:type="dxa"/>
            <w:shd w:val="clear" w:color="auto" w:fill="FFFFFF"/>
            <w:vAlign w:val="center"/>
            <w:hideMark/>
          </w:tcPr>
          <w:p w14:paraId="6595D47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4.1585</w:t>
            </w:r>
          </w:p>
        </w:tc>
      </w:tr>
      <w:tr w:rsidR="00D923A9" w:rsidRPr="00D923A9" w14:paraId="505FC8EF" w14:textId="77777777" w:rsidTr="00D923A9">
        <w:trPr>
          <w:cantSplit/>
          <w:jc w:val="center"/>
        </w:trPr>
        <w:tc>
          <w:tcPr>
            <w:tcW w:w="1420" w:type="dxa"/>
            <w:vMerge/>
            <w:vAlign w:val="center"/>
            <w:hideMark/>
          </w:tcPr>
          <w:p w14:paraId="00A0F4A2"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39D5933D"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517E615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1.55000</w:t>
            </w:r>
          </w:p>
        </w:tc>
        <w:tc>
          <w:tcPr>
            <w:tcW w:w="1038" w:type="dxa"/>
            <w:shd w:val="clear" w:color="auto" w:fill="FFFFFF"/>
            <w:vAlign w:val="center"/>
            <w:hideMark/>
          </w:tcPr>
          <w:p w14:paraId="7868B47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3E0617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.657</w:t>
            </w:r>
          </w:p>
        </w:tc>
        <w:tc>
          <w:tcPr>
            <w:tcW w:w="1339" w:type="dxa"/>
            <w:shd w:val="clear" w:color="auto" w:fill="FFFFFF"/>
            <w:vAlign w:val="center"/>
            <w:hideMark/>
          </w:tcPr>
          <w:p w14:paraId="3207240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-1.0835</w:t>
            </w:r>
          </w:p>
        </w:tc>
        <w:tc>
          <w:tcPr>
            <w:tcW w:w="1388" w:type="dxa"/>
            <w:shd w:val="clear" w:color="auto" w:fill="FFFFFF"/>
            <w:vAlign w:val="center"/>
            <w:hideMark/>
          </w:tcPr>
          <w:p w14:paraId="56FD598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4.1835</w:t>
            </w:r>
          </w:p>
        </w:tc>
      </w:tr>
      <w:tr w:rsidR="00D923A9" w:rsidRPr="00D923A9" w14:paraId="196FF5C5" w14:textId="77777777" w:rsidTr="00D923A9">
        <w:trPr>
          <w:cantSplit/>
          <w:jc w:val="center"/>
        </w:trPr>
        <w:tc>
          <w:tcPr>
            <w:tcW w:w="1420" w:type="dxa"/>
            <w:vMerge/>
            <w:vAlign w:val="center"/>
            <w:hideMark/>
          </w:tcPr>
          <w:p w14:paraId="05AC6A92"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2810C2D"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6BBCE97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1.90000</w:t>
            </w:r>
          </w:p>
        </w:tc>
        <w:tc>
          <w:tcPr>
            <w:tcW w:w="1038" w:type="dxa"/>
            <w:shd w:val="clear" w:color="auto" w:fill="FFFFFF"/>
            <w:vAlign w:val="center"/>
            <w:hideMark/>
          </w:tcPr>
          <w:p w14:paraId="4955999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3F2904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w:t>
            </w:r>
          </w:p>
        </w:tc>
        <w:tc>
          <w:tcPr>
            <w:tcW w:w="1339" w:type="dxa"/>
            <w:shd w:val="clear" w:color="auto" w:fill="FFFFFF"/>
            <w:vAlign w:val="center"/>
            <w:hideMark/>
          </w:tcPr>
          <w:p w14:paraId="3B95936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-.7335</w:t>
            </w:r>
          </w:p>
        </w:tc>
        <w:tc>
          <w:tcPr>
            <w:tcW w:w="1388" w:type="dxa"/>
            <w:shd w:val="clear" w:color="auto" w:fill="FFFFFF"/>
            <w:vAlign w:val="center"/>
            <w:hideMark/>
          </w:tcPr>
          <w:p w14:paraId="7445162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4.5335</w:t>
            </w:r>
          </w:p>
        </w:tc>
      </w:tr>
      <w:tr w:rsidR="00D923A9" w:rsidRPr="00D923A9" w14:paraId="593FBB1E" w14:textId="77777777" w:rsidTr="00D923A9">
        <w:trPr>
          <w:cantSplit/>
          <w:jc w:val="center"/>
        </w:trPr>
        <w:tc>
          <w:tcPr>
            <w:tcW w:w="1420" w:type="dxa"/>
            <w:vMerge/>
            <w:vAlign w:val="center"/>
            <w:hideMark/>
          </w:tcPr>
          <w:p w14:paraId="77343625"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90E106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1B97BC5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.55000</w:t>
            </w:r>
          </w:p>
        </w:tc>
        <w:tc>
          <w:tcPr>
            <w:tcW w:w="1038" w:type="dxa"/>
            <w:shd w:val="clear" w:color="auto" w:fill="FFFFFF"/>
            <w:vAlign w:val="center"/>
            <w:hideMark/>
          </w:tcPr>
          <w:p w14:paraId="27216B0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813334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.999</w:t>
            </w:r>
          </w:p>
        </w:tc>
        <w:tc>
          <w:tcPr>
            <w:tcW w:w="1339" w:type="dxa"/>
            <w:shd w:val="clear" w:color="auto" w:fill="FFFFFF"/>
            <w:vAlign w:val="center"/>
            <w:hideMark/>
          </w:tcPr>
          <w:p w14:paraId="23A2CE7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-2.0835</w:t>
            </w:r>
          </w:p>
        </w:tc>
        <w:tc>
          <w:tcPr>
            <w:tcW w:w="1388" w:type="dxa"/>
            <w:shd w:val="clear" w:color="auto" w:fill="FFFFFF"/>
            <w:vAlign w:val="center"/>
            <w:hideMark/>
          </w:tcPr>
          <w:p w14:paraId="37D74A0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3.1835</w:t>
            </w:r>
          </w:p>
        </w:tc>
      </w:tr>
      <w:tr w:rsidR="00D923A9" w:rsidRPr="00D923A9" w14:paraId="7E5801BB" w14:textId="77777777" w:rsidTr="00D923A9">
        <w:trPr>
          <w:cantSplit/>
          <w:jc w:val="center"/>
        </w:trPr>
        <w:tc>
          <w:tcPr>
            <w:tcW w:w="1420" w:type="dxa"/>
            <w:vMerge/>
            <w:vAlign w:val="center"/>
            <w:hideMark/>
          </w:tcPr>
          <w:p w14:paraId="7CFA6029"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C48052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61FB419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4.85000</w:t>
            </w:r>
            <w:r w:rsidRPr="00D923A9">
              <w:rPr>
                <w:color w:val="000000" w:themeColor="text1"/>
                <w:sz w:val="16"/>
                <w:szCs w:val="16"/>
                <w:vertAlign w:val="superscript"/>
              </w:rPr>
              <w:t>*</w:t>
            </w:r>
          </w:p>
        </w:tc>
        <w:tc>
          <w:tcPr>
            <w:tcW w:w="1038" w:type="dxa"/>
            <w:shd w:val="clear" w:color="auto" w:fill="FFFFFF"/>
            <w:vAlign w:val="center"/>
            <w:hideMark/>
          </w:tcPr>
          <w:p w14:paraId="7F116C6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A782D4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4F6E5E8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2.2165</w:t>
            </w:r>
          </w:p>
        </w:tc>
        <w:tc>
          <w:tcPr>
            <w:tcW w:w="1388" w:type="dxa"/>
            <w:shd w:val="clear" w:color="auto" w:fill="FFFFFF"/>
            <w:vAlign w:val="center"/>
            <w:hideMark/>
          </w:tcPr>
          <w:p w14:paraId="582E2BE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7.4835</w:t>
            </w:r>
          </w:p>
        </w:tc>
      </w:tr>
      <w:tr w:rsidR="00D923A9" w:rsidRPr="00D923A9" w14:paraId="3AE2D957" w14:textId="77777777" w:rsidTr="00D923A9">
        <w:trPr>
          <w:cantSplit/>
          <w:jc w:val="center"/>
        </w:trPr>
        <w:tc>
          <w:tcPr>
            <w:tcW w:w="1420" w:type="dxa"/>
            <w:vMerge w:val="restart"/>
            <w:shd w:val="clear" w:color="auto" w:fill="FFFFFF"/>
            <w:vAlign w:val="center"/>
            <w:hideMark/>
          </w:tcPr>
          <w:p w14:paraId="11474C9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2525" w:type="dxa"/>
            <w:shd w:val="clear" w:color="auto" w:fill="FFFFFF"/>
            <w:vAlign w:val="center"/>
            <w:hideMark/>
          </w:tcPr>
          <w:p w14:paraId="7751CE7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186A790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47B10A2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DE0795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579C481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c>
          <w:tcPr>
            <w:tcW w:w="1388" w:type="dxa"/>
            <w:shd w:val="clear" w:color="auto" w:fill="FFFFFF"/>
            <w:vAlign w:val="center"/>
            <w:hideMark/>
          </w:tcPr>
          <w:p w14:paraId="21865E7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r>
      <w:tr w:rsidR="00D923A9" w:rsidRPr="00D923A9" w14:paraId="0870DEF7" w14:textId="77777777" w:rsidTr="00D923A9">
        <w:trPr>
          <w:cantSplit/>
          <w:jc w:val="center"/>
        </w:trPr>
        <w:tc>
          <w:tcPr>
            <w:tcW w:w="1420" w:type="dxa"/>
            <w:vMerge/>
            <w:vAlign w:val="center"/>
            <w:hideMark/>
          </w:tcPr>
          <w:p w14:paraId="2BB8BDD7"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957B5C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64E5508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.62500</w:t>
            </w:r>
          </w:p>
        </w:tc>
        <w:tc>
          <w:tcPr>
            <w:tcW w:w="1038" w:type="dxa"/>
            <w:shd w:val="clear" w:color="auto" w:fill="FFFFFF"/>
            <w:vAlign w:val="center"/>
            <w:hideMark/>
          </w:tcPr>
          <w:p w14:paraId="4C4E746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8D5545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.998</w:t>
            </w:r>
          </w:p>
        </w:tc>
        <w:tc>
          <w:tcPr>
            <w:tcW w:w="1339" w:type="dxa"/>
            <w:shd w:val="clear" w:color="auto" w:fill="FFFFFF"/>
            <w:vAlign w:val="center"/>
            <w:hideMark/>
          </w:tcPr>
          <w:p w14:paraId="2B113FC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-2.0085</w:t>
            </w:r>
          </w:p>
        </w:tc>
        <w:tc>
          <w:tcPr>
            <w:tcW w:w="1388" w:type="dxa"/>
            <w:shd w:val="clear" w:color="auto" w:fill="FFFFFF"/>
            <w:vAlign w:val="center"/>
            <w:hideMark/>
          </w:tcPr>
          <w:p w14:paraId="4FC9B6A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3.2585</w:t>
            </w:r>
          </w:p>
        </w:tc>
      </w:tr>
      <w:tr w:rsidR="00D923A9" w:rsidRPr="00D923A9" w14:paraId="42E572AA" w14:textId="77777777" w:rsidTr="00D923A9">
        <w:trPr>
          <w:cantSplit/>
          <w:jc w:val="center"/>
        </w:trPr>
        <w:tc>
          <w:tcPr>
            <w:tcW w:w="1420" w:type="dxa"/>
            <w:vMerge/>
            <w:vAlign w:val="center"/>
            <w:hideMark/>
          </w:tcPr>
          <w:p w14:paraId="6D26695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5A436F9"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37DDDEC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.35000</w:t>
            </w:r>
          </w:p>
        </w:tc>
        <w:tc>
          <w:tcPr>
            <w:tcW w:w="1038" w:type="dxa"/>
            <w:shd w:val="clear" w:color="auto" w:fill="FFFFFF"/>
            <w:vAlign w:val="center"/>
            <w:hideMark/>
          </w:tcPr>
          <w:p w14:paraId="55B8368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711E39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2455EBC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-2.2835</w:t>
            </w:r>
          </w:p>
        </w:tc>
        <w:tc>
          <w:tcPr>
            <w:tcW w:w="1388" w:type="dxa"/>
            <w:shd w:val="clear" w:color="auto" w:fill="FFFFFF"/>
            <w:vAlign w:val="center"/>
            <w:hideMark/>
          </w:tcPr>
          <w:p w14:paraId="0F441BA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2.9835</w:t>
            </w:r>
          </w:p>
        </w:tc>
      </w:tr>
      <w:tr w:rsidR="00D923A9" w:rsidRPr="00D923A9" w14:paraId="13F5AC8D" w14:textId="77777777" w:rsidTr="00D923A9">
        <w:trPr>
          <w:cantSplit/>
          <w:jc w:val="center"/>
        </w:trPr>
        <w:tc>
          <w:tcPr>
            <w:tcW w:w="1420" w:type="dxa"/>
            <w:vMerge/>
            <w:vAlign w:val="center"/>
            <w:hideMark/>
          </w:tcPr>
          <w:p w14:paraId="776CC8E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36474BA"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5FDED49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.75000</w:t>
            </w:r>
          </w:p>
        </w:tc>
        <w:tc>
          <w:tcPr>
            <w:tcW w:w="1038" w:type="dxa"/>
            <w:shd w:val="clear" w:color="auto" w:fill="FFFFFF"/>
            <w:vAlign w:val="center"/>
            <w:hideMark/>
          </w:tcPr>
          <w:p w14:paraId="028DA61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F291A3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.993</w:t>
            </w:r>
          </w:p>
        </w:tc>
        <w:tc>
          <w:tcPr>
            <w:tcW w:w="1339" w:type="dxa"/>
            <w:shd w:val="clear" w:color="auto" w:fill="FFFFFF"/>
            <w:vAlign w:val="center"/>
            <w:hideMark/>
          </w:tcPr>
          <w:p w14:paraId="36DF9EB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-1.8835</w:t>
            </w:r>
          </w:p>
        </w:tc>
        <w:tc>
          <w:tcPr>
            <w:tcW w:w="1388" w:type="dxa"/>
            <w:shd w:val="clear" w:color="auto" w:fill="FFFFFF"/>
            <w:vAlign w:val="center"/>
            <w:hideMark/>
          </w:tcPr>
          <w:p w14:paraId="3BD921E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3.3835</w:t>
            </w:r>
          </w:p>
        </w:tc>
      </w:tr>
      <w:tr w:rsidR="00D923A9" w:rsidRPr="00D923A9" w14:paraId="3A615EA2" w14:textId="77777777" w:rsidTr="00D923A9">
        <w:trPr>
          <w:cantSplit/>
          <w:jc w:val="center"/>
        </w:trPr>
        <w:tc>
          <w:tcPr>
            <w:tcW w:w="1420" w:type="dxa"/>
            <w:vMerge/>
            <w:vAlign w:val="center"/>
            <w:hideMark/>
          </w:tcPr>
          <w:p w14:paraId="52E961B5"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E56375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2C95F59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0FFBC52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8C62E9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75F6727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c>
          <w:tcPr>
            <w:tcW w:w="1388" w:type="dxa"/>
            <w:shd w:val="clear" w:color="auto" w:fill="FFFFFF"/>
            <w:vAlign w:val="center"/>
            <w:hideMark/>
          </w:tcPr>
          <w:p w14:paraId="0A92BCC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r>
      <w:tr w:rsidR="00D923A9" w:rsidRPr="00D923A9" w14:paraId="7A343754" w14:textId="77777777" w:rsidTr="00D923A9">
        <w:trPr>
          <w:cantSplit/>
          <w:jc w:val="center"/>
        </w:trPr>
        <w:tc>
          <w:tcPr>
            <w:tcW w:w="1420" w:type="dxa"/>
            <w:vMerge/>
            <w:vAlign w:val="center"/>
            <w:hideMark/>
          </w:tcPr>
          <w:p w14:paraId="4478511B"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6CC53F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77BF39A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1.12500</w:t>
            </w:r>
          </w:p>
        </w:tc>
        <w:tc>
          <w:tcPr>
            <w:tcW w:w="1038" w:type="dxa"/>
            <w:shd w:val="clear" w:color="auto" w:fill="FFFFFF"/>
            <w:vAlign w:val="center"/>
            <w:hideMark/>
          </w:tcPr>
          <w:p w14:paraId="7E13713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AEC2C9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.921</w:t>
            </w:r>
          </w:p>
        </w:tc>
        <w:tc>
          <w:tcPr>
            <w:tcW w:w="1339" w:type="dxa"/>
            <w:shd w:val="clear" w:color="auto" w:fill="FFFFFF"/>
            <w:vAlign w:val="center"/>
            <w:hideMark/>
          </w:tcPr>
          <w:p w14:paraId="617696C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-1.5085</w:t>
            </w:r>
          </w:p>
        </w:tc>
        <w:tc>
          <w:tcPr>
            <w:tcW w:w="1388" w:type="dxa"/>
            <w:shd w:val="clear" w:color="auto" w:fill="FFFFFF"/>
            <w:vAlign w:val="center"/>
            <w:hideMark/>
          </w:tcPr>
          <w:p w14:paraId="1D845EC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3.7585</w:t>
            </w:r>
          </w:p>
        </w:tc>
      </w:tr>
      <w:tr w:rsidR="00D923A9" w:rsidRPr="00D923A9" w14:paraId="68ADF170" w14:textId="77777777" w:rsidTr="00D923A9">
        <w:trPr>
          <w:cantSplit/>
          <w:jc w:val="center"/>
        </w:trPr>
        <w:tc>
          <w:tcPr>
            <w:tcW w:w="1420" w:type="dxa"/>
            <w:vMerge/>
            <w:vAlign w:val="center"/>
            <w:hideMark/>
          </w:tcPr>
          <w:p w14:paraId="403B7F36"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58C117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2986A35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-.22500</w:t>
            </w:r>
          </w:p>
        </w:tc>
        <w:tc>
          <w:tcPr>
            <w:tcW w:w="1038" w:type="dxa"/>
            <w:shd w:val="clear" w:color="auto" w:fill="FFFFFF"/>
            <w:vAlign w:val="center"/>
            <w:hideMark/>
          </w:tcPr>
          <w:p w14:paraId="2D35721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66781C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7BEA6E7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-2.8585</w:t>
            </w:r>
          </w:p>
        </w:tc>
        <w:tc>
          <w:tcPr>
            <w:tcW w:w="1388" w:type="dxa"/>
            <w:shd w:val="clear" w:color="auto" w:fill="FFFFFF"/>
            <w:vAlign w:val="center"/>
            <w:hideMark/>
          </w:tcPr>
          <w:p w14:paraId="6B9C5D2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2.4085</w:t>
            </w:r>
          </w:p>
        </w:tc>
      </w:tr>
      <w:tr w:rsidR="00D923A9" w:rsidRPr="00D923A9" w14:paraId="25768F03" w14:textId="77777777" w:rsidTr="00D923A9">
        <w:trPr>
          <w:cantSplit/>
          <w:jc w:val="center"/>
        </w:trPr>
        <w:tc>
          <w:tcPr>
            <w:tcW w:w="1420" w:type="dxa"/>
            <w:vMerge/>
            <w:vAlign w:val="center"/>
            <w:hideMark/>
          </w:tcPr>
          <w:p w14:paraId="74143AE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7250C0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734C686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4.07500</w:t>
            </w:r>
            <w:r w:rsidRPr="00D923A9">
              <w:rPr>
                <w:color w:val="000000" w:themeColor="text1"/>
                <w:sz w:val="16"/>
                <w:szCs w:val="16"/>
                <w:vertAlign w:val="superscript"/>
              </w:rPr>
              <w:t>*</w:t>
            </w:r>
          </w:p>
        </w:tc>
        <w:tc>
          <w:tcPr>
            <w:tcW w:w="1038" w:type="dxa"/>
            <w:shd w:val="clear" w:color="auto" w:fill="FFFFFF"/>
            <w:vAlign w:val="center"/>
            <w:hideMark/>
          </w:tcPr>
          <w:p w14:paraId="554DFFC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C5B20E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3F0B32E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1.4415</w:t>
            </w:r>
          </w:p>
        </w:tc>
        <w:tc>
          <w:tcPr>
            <w:tcW w:w="1388" w:type="dxa"/>
            <w:shd w:val="clear" w:color="auto" w:fill="FFFFFF"/>
            <w:vAlign w:val="center"/>
            <w:hideMark/>
          </w:tcPr>
          <w:p w14:paraId="2BACF66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6.7085</w:t>
            </w:r>
          </w:p>
        </w:tc>
      </w:tr>
      <w:tr w:rsidR="00D923A9" w:rsidRPr="00D923A9" w14:paraId="407F11B1" w14:textId="77777777" w:rsidTr="00D923A9">
        <w:trPr>
          <w:cantSplit/>
          <w:jc w:val="center"/>
        </w:trPr>
        <w:tc>
          <w:tcPr>
            <w:tcW w:w="1420" w:type="dxa"/>
            <w:vMerge w:val="restart"/>
            <w:shd w:val="clear" w:color="auto" w:fill="FFFFFF"/>
            <w:vAlign w:val="center"/>
            <w:hideMark/>
          </w:tcPr>
          <w:p w14:paraId="505930A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2525" w:type="dxa"/>
            <w:shd w:val="clear" w:color="auto" w:fill="FFFFFF"/>
            <w:vAlign w:val="center"/>
            <w:hideMark/>
          </w:tcPr>
          <w:p w14:paraId="08ABF98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4890130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-1.40000</w:t>
            </w:r>
          </w:p>
        </w:tc>
        <w:tc>
          <w:tcPr>
            <w:tcW w:w="1038" w:type="dxa"/>
            <w:shd w:val="clear" w:color="auto" w:fill="FFFFFF"/>
            <w:vAlign w:val="center"/>
            <w:hideMark/>
          </w:tcPr>
          <w:p w14:paraId="5A3781E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E7EA2B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.771</w:t>
            </w:r>
          </w:p>
        </w:tc>
        <w:tc>
          <w:tcPr>
            <w:tcW w:w="1339" w:type="dxa"/>
            <w:shd w:val="clear" w:color="auto" w:fill="FFFFFF"/>
            <w:vAlign w:val="center"/>
            <w:hideMark/>
          </w:tcPr>
          <w:p w14:paraId="7B359B6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-4.0335</w:t>
            </w:r>
          </w:p>
        </w:tc>
        <w:tc>
          <w:tcPr>
            <w:tcW w:w="1388" w:type="dxa"/>
            <w:shd w:val="clear" w:color="auto" w:fill="FFFFFF"/>
            <w:vAlign w:val="center"/>
            <w:hideMark/>
          </w:tcPr>
          <w:p w14:paraId="529886F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1.2335</w:t>
            </w:r>
          </w:p>
        </w:tc>
      </w:tr>
      <w:tr w:rsidR="00D923A9" w:rsidRPr="00D923A9" w14:paraId="3A8307E1" w14:textId="77777777" w:rsidTr="00D923A9">
        <w:trPr>
          <w:cantSplit/>
          <w:jc w:val="center"/>
        </w:trPr>
        <w:tc>
          <w:tcPr>
            <w:tcW w:w="1420" w:type="dxa"/>
            <w:vMerge/>
            <w:vAlign w:val="center"/>
            <w:hideMark/>
          </w:tcPr>
          <w:p w14:paraId="65D68A37"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28154CA"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669ED06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-.62500</w:t>
            </w:r>
          </w:p>
        </w:tc>
        <w:tc>
          <w:tcPr>
            <w:tcW w:w="1038" w:type="dxa"/>
            <w:shd w:val="clear" w:color="auto" w:fill="FFFFFF"/>
            <w:vAlign w:val="center"/>
            <w:hideMark/>
          </w:tcPr>
          <w:p w14:paraId="75ADE58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B4BF57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.998</w:t>
            </w:r>
          </w:p>
        </w:tc>
        <w:tc>
          <w:tcPr>
            <w:tcW w:w="1339" w:type="dxa"/>
            <w:shd w:val="clear" w:color="auto" w:fill="FFFFFF"/>
            <w:vAlign w:val="center"/>
            <w:hideMark/>
          </w:tcPr>
          <w:p w14:paraId="1C13B1E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-3.2585</w:t>
            </w:r>
          </w:p>
        </w:tc>
        <w:tc>
          <w:tcPr>
            <w:tcW w:w="1388" w:type="dxa"/>
            <w:shd w:val="clear" w:color="auto" w:fill="FFFFFF"/>
            <w:vAlign w:val="center"/>
            <w:hideMark/>
          </w:tcPr>
          <w:p w14:paraId="3A9D2AE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2.0085</w:t>
            </w:r>
          </w:p>
        </w:tc>
      </w:tr>
      <w:tr w:rsidR="00D923A9" w:rsidRPr="00D923A9" w14:paraId="6CAA8CA8" w14:textId="77777777" w:rsidTr="00D923A9">
        <w:trPr>
          <w:cantSplit/>
          <w:jc w:val="center"/>
        </w:trPr>
        <w:tc>
          <w:tcPr>
            <w:tcW w:w="1420" w:type="dxa"/>
            <w:vMerge/>
            <w:vAlign w:val="center"/>
            <w:hideMark/>
          </w:tcPr>
          <w:p w14:paraId="4FD20C2B"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829A7C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0115AB0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-.27500</w:t>
            </w:r>
          </w:p>
        </w:tc>
        <w:tc>
          <w:tcPr>
            <w:tcW w:w="1038" w:type="dxa"/>
            <w:shd w:val="clear" w:color="auto" w:fill="FFFFFF"/>
            <w:vAlign w:val="center"/>
            <w:hideMark/>
          </w:tcPr>
          <w:p w14:paraId="374ECE1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544F1B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20F9E8F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-2.9085</w:t>
            </w:r>
          </w:p>
        </w:tc>
        <w:tc>
          <w:tcPr>
            <w:tcW w:w="1388" w:type="dxa"/>
            <w:shd w:val="clear" w:color="auto" w:fill="FFFFFF"/>
            <w:vAlign w:val="center"/>
            <w:hideMark/>
          </w:tcPr>
          <w:p w14:paraId="2E6B7D1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2.3585</w:t>
            </w:r>
          </w:p>
        </w:tc>
      </w:tr>
      <w:tr w:rsidR="00D923A9" w:rsidRPr="00D923A9" w14:paraId="596E0866" w14:textId="77777777" w:rsidTr="00D923A9">
        <w:trPr>
          <w:cantSplit/>
          <w:jc w:val="center"/>
        </w:trPr>
        <w:tc>
          <w:tcPr>
            <w:tcW w:w="1420" w:type="dxa"/>
            <w:vMerge/>
            <w:vAlign w:val="center"/>
            <w:hideMark/>
          </w:tcPr>
          <w:p w14:paraId="65E2F6CD"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F22F45B"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0B0537C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.12500</w:t>
            </w:r>
          </w:p>
        </w:tc>
        <w:tc>
          <w:tcPr>
            <w:tcW w:w="1038" w:type="dxa"/>
            <w:shd w:val="clear" w:color="auto" w:fill="FFFFFF"/>
            <w:vAlign w:val="center"/>
            <w:hideMark/>
          </w:tcPr>
          <w:p w14:paraId="6238A1C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1A3581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62781DE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-2.5085</w:t>
            </w:r>
          </w:p>
        </w:tc>
        <w:tc>
          <w:tcPr>
            <w:tcW w:w="1388" w:type="dxa"/>
            <w:shd w:val="clear" w:color="auto" w:fill="FFFFFF"/>
            <w:vAlign w:val="center"/>
            <w:hideMark/>
          </w:tcPr>
          <w:p w14:paraId="35214C0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2.7585</w:t>
            </w:r>
          </w:p>
        </w:tc>
      </w:tr>
      <w:tr w:rsidR="00D923A9" w:rsidRPr="00D923A9" w14:paraId="15776662" w14:textId="77777777" w:rsidTr="00D923A9">
        <w:trPr>
          <w:cantSplit/>
          <w:jc w:val="center"/>
        </w:trPr>
        <w:tc>
          <w:tcPr>
            <w:tcW w:w="1420" w:type="dxa"/>
            <w:vMerge/>
            <w:vAlign w:val="center"/>
            <w:hideMark/>
          </w:tcPr>
          <w:p w14:paraId="6D450DD0"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D2FDFD3"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00AA4D7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.15000</w:t>
            </w:r>
          </w:p>
        </w:tc>
        <w:tc>
          <w:tcPr>
            <w:tcW w:w="1038" w:type="dxa"/>
            <w:shd w:val="clear" w:color="auto" w:fill="FFFFFF"/>
            <w:vAlign w:val="center"/>
            <w:hideMark/>
          </w:tcPr>
          <w:p w14:paraId="206B71D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4FB8FF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51CDC41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-2.4835</w:t>
            </w:r>
          </w:p>
        </w:tc>
        <w:tc>
          <w:tcPr>
            <w:tcW w:w="1388" w:type="dxa"/>
            <w:shd w:val="clear" w:color="auto" w:fill="FFFFFF"/>
            <w:vAlign w:val="center"/>
            <w:hideMark/>
          </w:tcPr>
          <w:p w14:paraId="5DE7821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2.7835</w:t>
            </w:r>
          </w:p>
        </w:tc>
      </w:tr>
      <w:tr w:rsidR="00D923A9" w:rsidRPr="00D923A9" w14:paraId="61EF1CF9" w14:textId="77777777" w:rsidTr="00D923A9">
        <w:trPr>
          <w:cantSplit/>
          <w:jc w:val="center"/>
        </w:trPr>
        <w:tc>
          <w:tcPr>
            <w:tcW w:w="1420" w:type="dxa"/>
            <w:vMerge/>
            <w:vAlign w:val="center"/>
            <w:hideMark/>
          </w:tcPr>
          <w:p w14:paraId="209F7AE5"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13A6CF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5974494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.50000</w:t>
            </w:r>
          </w:p>
        </w:tc>
        <w:tc>
          <w:tcPr>
            <w:tcW w:w="1038" w:type="dxa"/>
            <w:shd w:val="clear" w:color="auto" w:fill="FFFFFF"/>
            <w:vAlign w:val="center"/>
            <w:hideMark/>
          </w:tcPr>
          <w:p w14:paraId="5D2B1B8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9CCE15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23EE914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-2.1335</w:t>
            </w:r>
          </w:p>
        </w:tc>
        <w:tc>
          <w:tcPr>
            <w:tcW w:w="1388" w:type="dxa"/>
            <w:shd w:val="clear" w:color="auto" w:fill="FFFFFF"/>
            <w:vAlign w:val="center"/>
            <w:hideMark/>
          </w:tcPr>
          <w:p w14:paraId="1247A77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3.1335</w:t>
            </w:r>
          </w:p>
        </w:tc>
      </w:tr>
      <w:tr w:rsidR="00D923A9" w:rsidRPr="00D923A9" w14:paraId="10C0A148" w14:textId="77777777" w:rsidTr="00D923A9">
        <w:trPr>
          <w:cantSplit/>
          <w:jc w:val="center"/>
        </w:trPr>
        <w:tc>
          <w:tcPr>
            <w:tcW w:w="1420" w:type="dxa"/>
            <w:vMerge/>
            <w:vAlign w:val="center"/>
            <w:hideMark/>
          </w:tcPr>
          <w:p w14:paraId="2D375985"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3F720DB8"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158533D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-.85000</w:t>
            </w:r>
          </w:p>
        </w:tc>
        <w:tc>
          <w:tcPr>
            <w:tcW w:w="1038" w:type="dxa"/>
            <w:shd w:val="clear" w:color="auto" w:fill="FFFFFF"/>
            <w:vAlign w:val="center"/>
            <w:hideMark/>
          </w:tcPr>
          <w:p w14:paraId="3222C3C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ABE839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.985</w:t>
            </w:r>
          </w:p>
        </w:tc>
        <w:tc>
          <w:tcPr>
            <w:tcW w:w="1339" w:type="dxa"/>
            <w:shd w:val="clear" w:color="auto" w:fill="FFFFFF"/>
            <w:vAlign w:val="center"/>
            <w:hideMark/>
          </w:tcPr>
          <w:p w14:paraId="79CBE65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-3.4835</w:t>
            </w:r>
          </w:p>
        </w:tc>
        <w:tc>
          <w:tcPr>
            <w:tcW w:w="1388" w:type="dxa"/>
            <w:shd w:val="clear" w:color="auto" w:fill="FFFFFF"/>
            <w:vAlign w:val="center"/>
            <w:hideMark/>
          </w:tcPr>
          <w:p w14:paraId="1E507C6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1.7835</w:t>
            </w:r>
          </w:p>
        </w:tc>
      </w:tr>
      <w:tr w:rsidR="00D923A9" w:rsidRPr="00D923A9" w14:paraId="2F209B49" w14:textId="77777777" w:rsidTr="00D923A9">
        <w:trPr>
          <w:cantSplit/>
          <w:jc w:val="center"/>
        </w:trPr>
        <w:tc>
          <w:tcPr>
            <w:tcW w:w="1420" w:type="dxa"/>
            <w:vMerge/>
            <w:vAlign w:val="center"/>
            <w:hideMark/>
          </w:tcPr>
          <w:p w14:paraId="48F80D4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F22AA5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1FECEED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3.45000</w:t>
            </w:r>
            <w:r w:rsidRPr="00D923A9">
              <w:rPr>
                <w:color w:val="000000" w:themeColor="text1"/>
                <w:sz w:val="16"/>
                <w:szCs w:val="16"/>
                <w:vertAlign w:val="superscript"/>
              </w:rPr>
              <w:t>*</w:t>
            </w:r>
          </w:p>
        </w:tc>
        <w:tc>
          <w:tcPr>
            <w:tcW w:w="1038" w:type="dxa"/>
            <w:shd w:val="clear" w:color="auto" w:fill="FFFFFF"/>
            <w:vAlign w:val="center"/>
            <w:hideMark/>
          </w:tcPr>
          <w:p w14:paraId="5F93B36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056559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.002</w:t>
            </w:r>
          </w:p>
        </w:tc>
        <w:tc>
          <w:tcPr>
            <w:tcW w:w="1339" w:type="dxa"/>
            <w:shd w:val="clear" w:color="auto" w:fill="FFFFFF"/>
            <w:vAlign w:val="center"/>
            <w:hideMark/>
          </w:tcPr>
          <w:p w14:paraId="4B1DDC7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.8165</w:t>
            </w:r>
          </w:p>
        </w:tc>
        <w:tc>
          <w:tcPr>
            <w:tcW w:w="1388" w:type="dxa"/>
            <w:shd w:val="clear" w:color="auto" w:fill="FFFFFF"/>
            <w:vAlign w:val="center"/>
            <w:hideMark/>
          </w:tcPr>
          <w:p w14:paraId="539FA8E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6.0835</w:t>
            </w:r>
          </w:p>
        </w:tc>
      </w:tr>
      <w:tr w:rsidR="00D923A9" w:rsidRPr="00D923A9" w14:paraId="68AD7CD9" w14:textId="77777777" w:rsidTr="00D923A9">
        <w:trPr>
          <w:cantSplit/>
          <w:jc w:val="center"/>
        </w:trPr>
        <w:tc>
          <w:tcPr>
            <w:tcW w:w="1420" w:type="dxa"/>
            <w:vMerge w:val="restart"/>
            <w:shd w:val="clear" w:color="auto" w:fill="FFFFFF"/>
            <w:vAlign w:val="center"/>
            <w:hideMark/>
          </w:tcPr>
          <w:p w14:paraId="10F21DC8"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2525" w:type="dxa"/>
            <w:shd w:val="clear" w:color="auto" w:fill="FFFFFF"/>
            <w:vAlign w:val="center"/>
            <w:hideMark/>
          </w:tcPr>
          <w:p w14:paraId="336D487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0281C9A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-1.12500</w:t>
            </w:r>
          </w:p>
        </w:tc>
        <w:tc>
          <w:tcPr>
            <w:tcW w:w="1038" w:type="dxa"/>
            <w:shd w:val="clear" w:color="auto" w:fill="FFFFFF"/>
            <w:vAlign w:val="center"/>
            <w:hideMark/>
          </w:tcPr>
          <w:p w14:paraId="4822165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EC0A99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.921</w:t>
            </w:r>
          </w:p>
        </w:tc>
        <w:tc>
          <w:tcPr>
            <w:tcW w:w="1339" w:type="dxa"/>
            <w:shd w:val="clear" w:color="auto" w:fill="FFFFFF"/>
            <w:vAlign w:val="center"/>
            <w:hideMark/>
          </w:tcPr>
          <w:p w14:paraId="203681A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-3.7585</w:t>
            </w:r>
          </w:p>
        </w:tc>
        <w:tc>
          <w:tcPr>
            <w:tcW w:w="1388" w:type="dxa"/>
            <w:shd w:val="clear" w:color="auto" w:fill="FFFFFF"/>
            <w:vAlign w:val="center"/>
            <w:hideMark/>
          </w:tcPr>
          <w:p w14:paraId="661903A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1.5085</w:t>
            </w:r>
          </w:p>
        </w:tc>
      </w:tr>
      <w:tr w:rsidR="00D923A9" w:rsidRPr="00D923A9" w14:paraId="00F5D864" w14:textId="77777777" w:rsidTr="00D923A9">
        <w:trPr>
          <w:cantSplit/>
          <w:jc w:val="center"/>
        </w:trPr>
        <w:tc>
          <w:tcPr>
            <w:tcW w:w="1420" w:type="dxa"/>
            <w:vMerge/>
            <w:vAlign w:val="center"/>
            <w:hideMark/>
          </w:tcPr>
          <w:p w14:paraId="629B7B9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1E1BCE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4C19C53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-.35000</w:t>
            </w:r>
          </w:p>
        </w:tc>
        <w:tc>
          <w:tcPr>
            <w:tcW w:w="1038" w:type="dxa"/>
            <w:shd w:val="clear" w:color="auto" w:fill="FFFFFF"/>
            <w:vAlign w:val="center"/>
            <w:hideMark/>
          </w:tcPr>
          <w:p w14:paraId="13AF7EC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E9FD18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64358F6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-2.9835</w:t>
            </w:r>
          </w:p>
        </w:tc>
        <w:tc>
          <w:tcPr>
            <w:tcW w:w="1388" w:type="dxa"/>
            <w:shd w:val="clear" w:color="auto" w:fill="FFFFFF"/>
            <w:vAlign w:val="center"/>
            <w:hideMark/>
          </w:tcPr>
          <w:p w14:paraId="75CAD26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2.2835</w:t>
            </w:r>
          </w:p>
        </w:tc>
      </w:tr>
      <w:tr w:rsidR="00D923A9" w:rsidRPr="00D923A9" w14:paraId="4B7D1908" w14:textId="77777777" w:rsidTr="00D923A9">
        <w:trPr>
          <w:cantSplit/>
          <w:jc w:val="center"/>
        </w:trPr>
        <w:tc>
          <w:tcPr>
            <w:tcW w:w="1420" w:type="dxa"/>
            <w:vMerge/>
            <w:vAlign w:val="center"/>
            <w:hideMark/>
          </w:tcPr>
          <w:p w14:paraId="727B1F42"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86B2A40"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4240C79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.27500</w:t>
            </w:r>
          </w:p>
        </w:tc>
        <w:tc>
          <w:tcPr>
            <w:tcW w:w="1038" w:type="dxa"/>
            <w:shd w:val="clear" w:color="auto" w:fill="FFFFFF"/>
            <w:vAlign w:val="center"/>
            <w:hideMark/>
          </w:tcPr>
          <w:p w14:paraId="4A36E7A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7625AD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5343F47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-2.3585</w:t>
            </w:r>
          </w:p>
        </w:tc>
        <w:tc>
          <w:tcPr>
            <w:tcW w:w="1388" w:type="dxa"/>
            <w:shd w:val="clear" w:color="auto" w:fill="FFFFFF"/>
            <w:vAlign w:val="center"/>
            <w:hideMark/>
          </w:tcPr>
          <w:p w14:paraId="710798C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2.9085</w:t>
            </w:r>
          </w:p>
        </w:tc>
      </w:tr>
      <w:tr w:rsidR="00D923A9" w:rsidRPr="00D923A9" w14:paraId="31265800" w14:textId="77777777" w:rsidTr="00D923A9">
        <w:trPr>
          <w:cantSplit/>
          <w:jc w:val="center"/>
        </w:trPr>
        <w:tc>
          <w:tcPr>
            <w:tcW w:w="1420" w:type="dxa"/>
            <w:vMerge/>
            <w:vAlign w:val="center"/>
            <w:hideMark/>
          </w:tcPr>
          <w:p w14:paraId="193622CC"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CE1AC3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0899D95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.40000</w:t>
            </w:r>
          </w:p>
        </w:tc>
        <w:tc>
          <w:tcPr>
            <w:tcW w:w="1038" w:type="dxa"/>
            <w:shd w:val="clear" w:color="auto" w:fill="FFFFFF"/>
            <w:vAlign w:val="center"/>
            <w:hideMark/>
          </w:tcPr>
          <w:p w14:paraId="11327F2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9457BC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59AB1F8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-2.2335</w:t>
            </w:r>
          </w:p>
        </w:tc>
        <w:tc>
          <w:tcPr>
            <w:tcW w:w="1388" w:type="dxa"/>
            <w:shd w:val="clear" w:color="auto" w:fill="FFFFFF"/>
            <w:vAlign w:val="center"/>
            <w:hideMark/>
          </w:tcPr>
          <w:p w14:paraId="14E5061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3.0335</w:t>
            </w:r>
          </w:p>
        </w:tc>
      </w:tr>
      <w:tr w:rsidR="00D923A9" w:rsidRPr="00D923A9" w14:paraId="0930A0C6" w14:textId="77777777" w:rsidTr="00D923A9">
        <w:trPr>
          <w:cantSplit/>
          <w:jc w:val="center"/>
        </w:trPr>
        <w:tc>
          <w:tcPr>
            <w:tcW w:w="1420" w:type="dxa"/>
            <w:vMerge/>
            <w:vAlign w:val="center"/>
            <w:hideMark/>
          </w:tcPr>
          <w:p w14:paraId="270AB6B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110659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4D164D4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.42500</w:t>
            </w:r>
          </w:p>
        </w:tc>
        <w:tc>
          <w:tcPr>
            <w:tcW w:w="1038" w:type="dxa"/>
            <w:shd w:val="clear" w:color="auto" w:fill="FFFFFF"/>
            <w:vAlign w:val="center"/>
            <w:hideMark/>
          </w:tcPr>
          <w:p w14:paraId="6B9EE36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98694A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4B0180F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-2.2085</w:t>
            </w:r>
          </w:p>
        </w:tc>
        <w:tc>
          <w:tcPr>
            <w:tcW w:w="1388" w:type="dxa"/>
            <w:shd w:val="clear" w:color="auto" w:fill="FFFFFF"/>
            <w:vAlign w:val="center"/>
            <w:hideMark/>
          </w:tcPr>
          <w:p w14:paraId="13BE5E3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3.0585</w:t>
            </w:r>
          </w:p>
        </w:tc>
      </w:tr>
      <w:tr w:rsidR="00D923A9" w:rsidRPr="00D923A9" w14:paraId="12213108" w14:textId="77777777" w:rsidTr="00D923A9">
        <w:trPr>
          <w:cantSplit/>
          <w:jc w:val="center"/>
        </w:trPr>
        <w:tc>
          <w:tcPr>
            <w:tcW w:w="1420" w:type="dxa"/>
            <w:vMerge/>
            <w:vAlign w:val="center"/>
            <w:hideMark/>
          </w:tcPr>
          <w:p w14:paraId="2994820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14D25ED"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47B4D7B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7FC3EFB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AD09C8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50116E2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c>
          <w:tcPr>
            <w:tcW w:w="1388" w:type="dxa"/>
            <w:shd w:val="clear" w:color="auto" w:fill="FFFFFF"/>
            <w:vAlign w:val="center"/>
            <w:hideMark/>
          </w:tcPr>
          <w:p w14:paraId="47BBFE8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r>
      <w:tr w:rsidR="00D923A9" w:rsidRPr="00D923A9" w14:paraId="14C216C1" w14:textId="77777777" w:rsidTr="00D923A9">
        <w:trPr>
          <w:cantSplit/>
          <w:jc w:val="center"/>
        </w:trPr>
        <w:tc>
          <w:tcPr>
            <w:tcW w:w="1420" w:type="dxa"/>
            <w:vMerge/>
            <w:vAlign w:val="center"/>
            <w:hideMark/>
          </w:tcPr>
          <w:p w14:paraId="1E62B02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B0CEDD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4A0CF58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-.57500</w:t>
            </w:r>
          </w:p>
        </w:tc>
        <w:tc>
          <w:tcPr>
            <w:tcW w:w="1038" w:type="dxa"/>
            <w:shd w:val="clear" w:color="auto" w:fill="FFFFFF"/>
            <w:vAlign w:val="center"/>
            <w:hideMark/>
          </w:tcPr>
          <w:p w14:paraId="6E33D3C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55102D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.999</w:t>
            </w:r>
          </w:p>
        </w:tc>
        <w:tc>
          <w:tcPr>
            <w:tcW w:w="1339" w:type="dxa"/>
            <w:shd w:val="clear" w:color="auto" w:fill="FFFFFF"/>
            <w:vAlign w:val="center"/>
            <w:hideMark/>
          </w:tcPr>
          <w:p w14:paraId="1FE6C1C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-3.2085</w:t>
            </w:r>
          </w:p>
        </w:tc>
        <w:tc>
          <w:tcPr>
            <w:tcW w:w="1388" w:type="dxa"/>
            <w:shd w:val="clear" w:color="auto" w:fill="FFFFFF"/>
            <w:vAlign w:val="center"/>
            <w:hideMark/>
          </w:tcPr>
          <w:p w14:paraId="72A3E62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2.0585</w:t>
            </w:r>
          </w:p>
        </w:tc>
      </w:tr>
      <w:tr w:rsidR="00D923A9" w:rsidRPr="00D923A9" w14:paraId="19F4AB97" w14:textId="77777777" w:rsidTr="00D923A9">
        <w:trPr>
          <w:cantSplit/>
          <w:jc w:val="center"/>
        </w:trPr>
        <w:tc>
          <w:tcPr>
            <w:tcW w:w="1420" w:type="dxa"/>
            <w:vMerge/>
            <w:vAlign w:val="center"/>
            <w:hideMark/>
          </w:tcPr>
          <w:p w14:paraId="74EFABD3"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99FA2F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6C3B5AA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3.72500</w:t>
            </w:r>
            <w:r w:rsidRPr="00D923A9">
              <w:rPr>
                <w:color w:val="000000" w:themeColor="text1"/>
                <w:sz w:val="16"/>
                <w:szCs w:val="16"/>
                <w:vertAlign w:val="superscript"/>
              </w:rPr>
              <w:t>*</w:t>
            </w:r>
          </w:p>
        </w:tc>
        <w:tc>
          <w:tcPr>
            <w:tcW w:w="1038" w:type="dxa"/>
            <w:shd w:val="clear" w:color="auto" w:fill="FFFFFF"/>
            <w:vAlign w:val="center"/>
            <w:hideMark/>
          </w:tcPr>
          <w:p w14:paraId="3C11CE1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21B903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467925C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1.0915</w:t>
            </w:r>
          </w:p>
        </w:tc>
        <w:tc>
          <w:tcPr>
            <w:tcW w:w="1388" w:type="dxa"/>
            <w:shd w:val="clear" w:color="auto" w:fill="FFFFFF"/>
            <w:vAlign w:val="center"/>
            <w:hideMark/>
          </w:tcPr>
          <w:p w14:paraId="30AA8D1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6.3585</w:t>
            </w:r>
          </w:p>
        </w:tc>
      </w:tr>
      <w:tr w:rsidR="00D923A9" w:rsidRPr="00D923A9" w14:paraId="6CFEFE6D" w14:textId="77777777" w:rsidTr="00D923A9">
        <w:trPr>
          <w:cantSplit/>
          <w:jc w:val="center"/>
        </w:trPr>
        <w:tc>
          <w:tcPr>
            <w:tcW w:w="1420" w:type="dxa"/>
            <w:vMerge w:val="restart"/>
            <w:shd w:val="clear" w:color="auto" w:fill="FFFFFF"/>
            <w:vAlign w:val="center"/>
            <w:hideMark/>
          </w:tcPr>
          <w:p w14:paraId="5A6784B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2525" w:type="dxa"/>
            <w:shd w:val="clear" w:color="auto" w:fill="FFFFFF"/>
            <w:vAlign w:val="center"/>
            <w:hideMark/>
          </w:tcPr>
          <w:p w14:paraId="505B378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566ED23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-1.52500</w:t>
            </w:r>
          </w:p>
        </w:tc>
        <w:tc>
          <w:tcPr>
            <w:tcW w:w="1038" w:type="dxa"/>
            <w:shd w:val="clear" w:color="auto" w:fill="FFFFFF"/>
            <w:vAlign w:val="center"/>
            <w:hideMark/>
          </w:tcPr>
          <w:p w14:paraId="7484934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D13D7B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.677</w:t>
            </w:r>
          </w:p>
        </w:tc>
        <w:tc>
          <w:tcPr>
            <w:tcW w:w="1339" w:type="dxa"/>
            <w:shd w:val="clear" w:color="auto" w:fill="FFFFFF"/>
            <w:vAlign w:val="center"/>
            <w:hideMark/>
          </w:tcPr>
          <w:p w14:paraId="1D46C91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-4.1585</w:t>
            </w:r>
          </w:p>
        </w:tc>
        <w:tc>
          <w:tcPr>
            <w:tcW w:w="1388" w:type="dxa"/>
            <w:shd w:val="clear" w:color="auto" w:fill="FFFFFF"/>
            <w:vAlign w:val="center"/>
            <w:hideMark/>
          </w:tcPr>
          <w:p w14:paraId="3F9C5F4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1.1085</w:t>
            </w:r>
          </w:p>
        </w:tc>
      </w:tr>
      <w:tr w:rsidR="00D923A9" w:rsidRPr="00D923A9" w14:paraId="5F688F23" w14:textId="77777777" w:rsidTr="00D923A9">
        <w:trPr>
          <w:cantSplit/>
          <w:jc w:val="center"/>
        </w:trPr>
        <w:tc>
          <w:tcPr>
            <w:tcW w:w="1420" w:type="dxa"/>
            <w:vMerge/>
            <w:vAlign w:val="center"/>
            <w:hideMark/>
          </w:tcPr>
          <w:p w14:paraId="0D73962F"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65542D9"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2FF2340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-.75000</w:t>
            </w:r>
          </w:p>
        </w:tc>
        <w:tc>
          <w:tcPr>
            <w:tcW w:w="1038" w:type="dxa"/>
            <w:shd w:val="clear" w:color="auto" w:fill="FFFFFF"/>
            <w:vAlign w:val="center"/>
            <w:hideMark/>
          </w:tcPr>
          <w:p w14:paraId="79C2EF6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666E36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.993</w:t>
            </w:r>
          </w:p>
        </w:tc>
        <w:tc>
          <w:tcPr>
            <w:tcW w:w="1339" w:type="dxa"/>
            <w:shd w:val="clear" w:color="auto" w:fill="FFFFFF"/>
            <w:vAlign w:val="center"/>
            <w:hideMark/>
          </w:tcPr>
          <w:p w14:paraId="742E23C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-3.3835</w:t>
            </w:r>
          </w:p>
        </w:tc>
        <w:tc>
          <w:tcPr>
            <w:tcW w:w="1388" w:type="dxa"/>
            <w:shd w:val="clear" w:color="auto" w:fill="FFFFFF"/>
            <w:vAlign w:val="center"/>
            <w:hideMark/>
          </w:tcPr>
          <w:p w14:paraId="292083A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1.8835</w:t>
            </w:r>
          </w:p>
        </w:tc>
      </w:tr>
      <w:tr w:rsidR="00D923A9" w:rsidRPr="00D923A9" w14:paraId="2F6AA2AE" w14:textId="77777777" w:rsidTr="00D923A9">
        <w:trPr>
          <w:cantSplit/>
          <w:jc w:val="center"/>
        </w:trPr>
        <w:tc>
          <w:tcPr>
            <w:tcW w:w="1420" w:type="dxa"/>
            <w:vMerge/>
            <w:vAlign w:val="center"/>
            <w:hideMark/>
          </w:tcPr>
          <w:p w14:paraId="49482541"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FCA0BE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353755D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-.12500</w:t>
            </w:r>
          </w:p>
        </w:tc>
        <w:tc>
          <w:tcPr>
            <w:tcW w:w="1038" w:type="dxa"/>
            <w:shd w:val="clear" w:color="auto" w:fill="FFFFFF"/>
            <w:vAlign w:val="center"/>
            <w:hideMark/>
          </w:tcPr>
          <w:p w14:paraId="26E5DAE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B0C6F3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0712946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-2.7585</w:t>
            </w:r>
          </w:p>
        </w:tc>
        <w:tc>
          <w:tcPr>
            <w:tcW w:w="1388" w:type="dxa"/>
            <w:shd w:val="clear" w:color="auto" w:fill="FFFFFF"/>
            <w:vAlign w:val="center"/>
            <w:hideMark/>
          </w:tcPr>
          <w:p w14:paraId="6ED2FE1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2.5085</w:t>
            </w:r>
          </w:p>
        </w:tc>
      </w:tr>
      <w:tr w:rsidR="00D923A9" w:rsidRPr="00D923A9" w14:paraId="35F87835" w14:textId="77777777" w:rsidTr="00D923A9">
        <w:trPr>
          <w:cantSplit/>
          <w:jc w:val="center"/>
        </w:trPr>
        <w:tc>
          <w:tcPr>
            <w:tcW w:w="1420" w:type="dxa"/>
            <w:vMerge/>
            <w:vAlign w:val="center"/>
            <w:hideMark/>
          </w:tcPr>
          <w:p w14:paraId="28EFBD76"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10441FF4"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208A7D1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-.40000</w:t>
            </w:r>
          </w:p>
        </w:tc>
        <w:tc>
          <w:tcPr>
            <w:tcW w:w="1038" w:type="dxa"/>
            <w:shd w:val="clear" w:color="auto" w:fill="FFFFFF"/>
            <w:vAlign w:val="center"/>
            <w:hideMark/>
          </w:tcPr>
          <w:p w14:paraId="7BED2CE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4E05C1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3E39541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-3.0335</w:t>
            </w:r>
          </w:p>
        </w:tc>
        <w:tc>
          <w:tcPr>
            <w:tcW w:w="1388" w:type="dxa"/>
            <w:shd w:val="clear" w:color="auto" w:fill="FFFFFF"/>
            <w:vAlign w:val="center"/>
            <w:hideMark/>
          </w:tcPr>
          <w:p w14:paraId="385BD49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2.2335</w:t>
            </w:r>
          </w:p>
        </w:tc>
      </w:tr>
      <w:tr w:rsidR="00D923A9" w:rsidRPr="00D923A9" w14:paraId="33DECD24" w14:textId="77777777" w:rsidTr="00D923A9">
        <w:trPr>
          <w:cantSplit/>
          <w:jc w:val="center"/>
        </w:trPr>
        <w:tc>
          <w:tcPr>
            <w:tcW w:w="1420" w:type="dxa"/>
            <w:vMerge/>
            <w:vAlign w:val="center"/>
            <w:hideMark/>
          </w:tcPr>
          <w:p w14:paraId="182855AF"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E6BD88A"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6A5F084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.02500</w:t>
            </w:r>
          </w:p>
        </w:tc>
        <w:tc>
          <w:tcPr>
            <w:tcW w:w="1038" w:type="dxa"/>
            <w:shd w:val="clear" w:color="auto" w:fill="FFFFFF"/>
            <w:vAlign w:val="center"/>
            <w:hideMark/>
          </w:tcPr>
          <w:p w14:paraId="5ACDD6C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5B5463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365489F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-2.6085</w:t>
            </w:r>
          </w:p>
        </w:tc>
        <w:tc>
          <w:tcPr>
            <w:tcW w:w="1388" w:type="dxa"/>
            <w:shd w:val="clear" w:color="auto" w:fill="FFFFFF"/>
            <w:vAlign w:val="center"/>
            <w:hideMark/>
          </w:tcPr>
          <w:p w14:paraId="643DD9F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2.6585</w:t>
            </w:r>
          </w:p>
        </w:tc>
      </w:tr>
      <w:tr w:rsidR="00D923A9" w:rsidRPr="00D923A9" w14:paraId="2802A972" w14:textId="77777777" w:rsidTr="00D923A9">
        <w:trPr>
          <w:cantSplit/>
          <w:jc w:val="center"/>
        </w:trPr>
        <w:tc>
          <w:tcPr>
            <w:tcW w:w="1420" w:type="dxa"/>
            <w:vMerge/>
            <w:vAlign w:val="center"/>
            <w:hideMark/>
          </w:tcPr>
          <w:p w14:paraId="0570A8B6"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E04FE4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309C7B9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.37500</w:t>
            </w:r>
          </w:p>
        </w:tc>
        <w:tc>
          <w:tcPr>
            <w:tcW w:w="1038" w:type="dxa"/>
            <w:shd w:val="clear" w:color="auto" w:fill="FFFFFF"/>
            <w:vAlign w:val="center"/>
            <w:hideMark/>
          </w:tcPr>
          <w:p w14:paraId="7E3DD20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4AF3AA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7169BF8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-2.2585</w:t>
            </w:r>
          </w:p>
        </w:tc>
        <w:tc>
          <w:tcPr>
            <w:tcW w:w="1388" w:type="dxa"/>
            <w:shd w:val="clear" w:color="auto" w:fill="FFFFFF"/>
            <w:vAlign w:val="center"/>
            <w:hideMark/>
          </w:tcPr>
          <w:p w14:paraId="00E68ED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3.0085</w:t>
            </w:r>
          </w:p>
        </w:tc>
      </w:tr>
      <w:tr w:rsidR="00D923A9" w:rsidRPr="00D923A9" w14:paraId="376F539A" w14:textId="77777777" w:rsidTr="00D923A9">
        <w:trPr>
          <w:cantSplit/>
          <w:jc w:val="center"/>
        </w:trPr>
        <w:tc>
          <w:tcPr>
            <w:tcW w:w="1420" w:type="dxa"/>
            <w:vMerge/>
            <w:vAlign w:val="center"/>
            <w:hideMark/>
          </w:tcPr>
          <w:p w14:paraId="092B3E01"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AF6653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3995138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-.97500</w:t>
            </w:r>
          </w:p>
        </w:tc>
        <w:tc>
          <w:tcPr>
            <w:tcW w:w="1038" w:type="dxa"/>
            <w:shd w:val="clear" w:color="auto" w:fill="FFFFFF"/>
            <w:vAlign w:val="center"/>
            <w:hideMark/>
          </w:tcPr>
          <w:p w14:paraId="271B1AD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5E1095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.965</w:t>
            </w:r>
          </w:p>
        </w:tc>
        <w:tc>
          <w:tcPr>
            <w:tcW w:w="1339" w:type="dxa"/>
            <w:shd w:val="clear" w:color="auto" w:fill="FFFFFF"/>
            <w:vAlign w:val="center"/>
            <w:hideMark/>
          </w:tcPr>
          <w:p w14:paraId="3531002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-3.6085</w:t>
            </w:r>
          </w:p>
        </w:tc>
        <w:tc>
          <w:tcPr>
            <w:tcW w:w="1388" w:type="dxa"/>
            <w:shd w:val="clear" w:color="auto" w:fill="FFFFFF"/>
            <w:vAlign w:val="center"/>
            <w:hideMark/>
          </w:tcPr>
          <w:p w14:paraId="33E01AC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1.6585</w:t>
            </w:r>
          </w:p>
        </w:tc>
      </w:tr>
      <w:tr w:rsidR="00D923A9" w:rsidRPr="00D923A9" w14:paraId="468EE7A5" w14:textId="77777777" w:rsidTr="00D923A9">
        <w:trPr>
          <w:cantSplit/>
          <w:jc w:val="center"/>
        </w:trPr>
        <w:tc>
          <w:tcPr>
            <w:tcW w:w="1420" w:type="dxa"/>
            <w:vMerge/>
            <w:vAlign w:val="center"/>
            <w:hideMark/>
          </w:tcPr>
          <w:p w14:paraId="44E70D97"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F01411B"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1E2B8E3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3.32500</w:t>
            </w:r>
            <w:r w:rsidRPr="00D923A9">
              <w:rPr>
                <w:color w:val="000000" w:themeColor="text1"/>
                <w:sz w:val="16"/>
                <w:szCs w:val="16"/>
                <w:vertAlign w:val="superscript"/>
              </w:rPr>
              <w:t>*</w:t>
            </w:r>
          </w:p>
        </w:tc>
        <w:tc>
          <w:tcPr>
            <w:tcW w:w="1038" w:type="dxa"/>
            <w:shd w:val="clear" w:color="auto" w:fill="FFFFFF"/>
            <w:vAlign w:val="center"/>
            <w:hideMark/>
          </w:tcPr>
          <w:p w14:paraId="07FA982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3AB423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.003</w:t>
            </w:r>
          </w:p>
        </w:tc>
        <w:tc>
          <w:tcPr>
            <w:tcW w:w="1339" w:type="dxa"/>
            <w:shd w:val="clear" w:color="auto" w:fill="FFFFFF"/>
            <w:vAlign w:val="center"/>
            <w:hideMark/>
          </w:tcPr>
          <w:p w14:paraId="4C1921F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.6915</w:t>
            </w:r>
          </w:p>
        </w:tc>
        <w:tc>
          <w:tcPr>
            <w:tcW w:w="1388" w:type="dxa"/>
            <w:shd w:val="clear" w:color="auto" w:fill="FFFFFF"/>
            <w:vAlign w:val="center"/>
            <w:hideMark/>
          </w:tcPr>
          <w:p w14:paraId="7B38A13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5.9585</w:t>
            </w:r>
          </w:p>
        </w:tc>
      </w:tr>
      <w:tr w:rsidR="00D923A9" w:rsidRPr="00D923A9" w14:paraId="7FF1CD16" w14:textId="77777777" w:rsidTr="00D923A9">
        <w:trPr>
          <w:cantSplit/>
          <w:jc w:val="center"/>
        </w:trPr>
        <w:tc>
          <w:tcPr>
            <w:tcW w:w="1420" w:type="dxa"/>
            <w:vMerge w:val="restart"/>
            <w:shd w:val="clear" w:color="auto" w:fill="FFFFFF"/>
            <w:vAlign w:val="center"/>
            <w:hideMark/>
          </w:tcPr>
          <w:p w14:paraId="73598539"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2525" w:type="dxa"/>
            <w:shd w:val="clear" w:color="auto" w:fill="FFFFFF"/>
            <w:vAlign w:val="center"/>
            <w:hideMark/>
          </w:tcPr>
          <w:p w14:paraId="4C58C53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0492528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-1.55000</w:t>
            </w:r>
          </w:p>
        </w:tc>
        <w:tc>
          <w:tcPr>
            <w:tcW w:w="1038" w:type="dxa"/>
            <w:shd w:val="clear" w:color="auto" w:fill="FFFFFF"/>
            <w:vAlign w:val="center"/>
            <w:hideMark/>
          </w:tcPr>
          <w:p w14:paraId="7C73E6F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56FA1B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.657</w:t>
            </w:r>
          </w:p>
        </w:tc>
        <w:tc>
          <w:tcPr>
            <w:tcW w:w="1339" w:type="dxa"/>
            <w:shd w:val="clear" w:color="auto" w:fill="FFFFFF"/>
            <w:vAlign w:val="center"/>
            <w:hideMark/>
          </w:tcPr>
          <w:p w14:paraId="269BAE3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-4.1835</w:t>
            </w:r>
          </w:p>
        </w:tc>
        <w:tc>
          <w:tcPr>
            <w:tcW w:w="1388" w:type="dxa"/>
            <w:shd w:val="clear" w:color="auto" w:fill="FFFFFF"/>
            <w:vAlign w:val="center"/>
            <w:hideMark/>
          </w:tcPr>
          <w:p w14:paraId="3D7656E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1.0835</w:t>
            </w:r>
          </w:p>
        </w:tc>
      </w:tr>
      <w:tr w:rsidR="00D923A9" w:rsidRPr="00D923A9" w14:paraId="339CF4F4" w14:textId="77777777" w:rsidTr="00D923A9">
        <w:trPr>
          <w:cantSplit/>
          <w:jc w:val="center"/>
        </w:trPr>
        <w:tc>
          <w:tcPr>
            <w:tcW w:w="1420" w:type="dxa"/>
            <w:vMerge/>
            <w:vAlign w:val="center"/>
            <w:hideMark/>
          </w:tcPr>
          <w:p w14:paraId="7A55C305"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72784B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521C0C1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1909C35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6980F1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3288A6F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c>
          <w:tcPr>
            <w:tcW w:w="1388" w:type="dxa"/>
            <w:shd w:val="clear" w:color="auto" w:fill="FFFFFF"/>
            <w:vAlign w:val="center"/>
            <w:hideMark/>
          </w:tcPr>
          <w:p w14:paraId="3F7982D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r>
      <w:tr w:rsidR="00D923A9" w:rsidRPr="00D923A9" w14:paraId="53DF8C57" w14:textId="77777777" w:rsidTr="00D923A9">
        <w:trPr>
          <w:cantSplit/>
          <w:jc w:val="center"/>
        </w:trPr>
        <w:tc>
          <w:tcPr>
            <w:tcW w:w="1420" w:type="dxa"/>
            <w:vMerge/>
            <w:vAlign w:val="center"/>
            <w:hideMark/>
          </w:tcPr>
          <w:p w14:paraId="276E0ABC"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39E9CD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36F30BE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-.15000</w:t>
            </w:r>
          </w:p>
        </w:tc>
        <w:tc>
          <w:tcPr>
            <w:tcW w:w="1038" w:type="dxa"/>
            <w:shd w:val="clear" w:color="auto" w:fill="FFFFFF"/>
            <w:vAlign w:val="center"/>
            <w:hideMark/>
          </w:tcPr>
          <w:p w14:paraId="251CF1D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2778DA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1F829F8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-2.7835</w:t>
            </w:r>
          </w:p>
        </w:tc>
        <w:tc>
          <w:tcPr>
            <w:tcW w:w="1388" w:type="dxa"/>
            <w:shd w:val="clear" w:color="auto" w:fill="FFFFFF"/>
            <w:vAlign w:val="center"/>
            <w:hideMark/>
          </w:tcPr>
          <w:p w14:paraId="712FDA8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2.4835</w:t>
            </w:r>
          </w:p>
        </w:tc>
      </w:tr>
      <w:tr w:rsidR="00D923A9" w:rsidRPr="00D923A9" w14:paraId="50A0EB08" w14:textId="77777777" w:rsidTr="00D923A9">
        <w:trPr>
          <w:cantSplit/>
          <w:jc w:val="center"/>
        </w:trPr>
        <w:tc>
          <w:tcPr>
            <w:tcW w:w="1420" w:type="dxa"/>
            <w:vMerge/>
            <w:vAlign w:val="center"/>
            <w:hideMark/>
          </w:tcPr>
          <w:p w14:paraId="4217C60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5153EB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3B136DC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-.42500</w:t>
            </w:r>
          </w:p>
        </w:tc>
        <w:tc>
          <w:tcPr>
            <w:tcW w:w="1038" w:type="dxa"/>
            <w:shd w:val="clear" w:color="auto" w:fill="FFFFFF"/>
            <w:vAlign w:val="center"/>
            <w:hideMark/>
          </w:tcPr>
          <w:p w14:paraId="73669AA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248813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7292E96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-3.0585</w:t>
            </w:r>
          </w:p>
        </w:tc>
        <w:tc>
          <w:tcPr>
            <w:tcW w:w="1388" w:type="dxa"/>
            <w:shd w:val="clear" w:color="auto" w:fill="FFFFFF"/>
            <w:vAlign w:val="center"/>
            <w:hideMark/>
          </w:tcPr>
          <w:p w14:paraId="091047D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2.2085</w:t>
            </w:r>
          </w:p>
        </w:tc>
      </w:tr>
      <w:tr w:rsidR="00D923A9" w:rsidRPr="00D923A9" w14:paraId="634EBA8E" w14:textId="77777777" w:rsidTr="00D923A9">
        <w:trPr>
          <w:cantSplit/>
          <w:jc w:val="center"/>
        </w:trPr>
        <w:tc>
          <w:tcPr>
            <w:tcW w:w="1420" w:type="dxa"/>
            <w:vMerge/>
            <w:vAlign w:val="center"/>
            <w:hideMark/>
          </w:tcPr>
          <w:p w14:paraId="48656946"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5847453"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756F827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-.02500</w:t>
            </w:r>
          </w:p>
        </w:tc>
        <w:tc>
          <w:tcPr>
            <w:tcW w:w="1038" w:type="dxa"/>
            <w:shd w:val="clear" w:color="auto" w:fill="FFFFFF"/>
            <w:vAlign w:val="center"/>
            <w:hideMark/>
          </w:tcPr>
          <w:p w14:paraId="51EC37A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E1F5B8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440738C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-2.6585</w:t>
            </w:r>
          </w:p>
        </w:tc>
        <w:tc>
          <w:tcPr>
            <w:tcW w:w="1388" w:type="dxa"/>
            <w:shd w:val="clear" w:color="auto" w:fill="FFFFFF"/>
            <w:vAlign w:val="center"/>
            <w:hideMark/>
          </w:tcPr>
          <w:p w14:paraId="641A62D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2.6085</w:t>
            </w:r>
          </w:p>
        </w:tc>
      </w:tr>
      <w:tr w:rsidR="00D923A9" w:rsidRPr="00D923A9" w14:paraId="677E2232" w14:textId="77777777" w:rsidTr="00D923A9">
        <w:trPr>
          <w:cantSplit/>
          <w:jc w:val="center"/>
        </w:trPr>
        <w:tc>
          <w:tcPr>
            <w:tcW w:w="1420" w:type="dxa"/>
            <w:vMerge/>
            <w:vAlign w:val="center"/>
            <w:hideMark/>
          </w:tcPr>
          <w:p w14:paraId="5E57BB5E"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6BBE08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50A2BED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.35000</w:t>
            </w:r>
          </w:p>
        </w:tc>
        <w:tc>
          <w:tcPr>
            <w:tcW w:w="1038" w:type="dxa"/>
            <w:shd w:val="clear" w:color="auto" w:fill="FFFFFF"/>
            <w:vAlign w:val="center"/>
            <w:hideMark/>
          </w:tcPr>
          <w:p w14:paraId="0E811A3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9D7D2C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37BED10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-2.2835</w:t>
            </w:r>
          </w:p>
        </w:tc>
        <w:tc>
          <w:tcPr>
            <w:tcW w:w="1388" w:type="dxa"/>
            <w:shd w:val="clear" w:color="auto" w:fill="FFFFFF"/>
            <w:vAlign w:val="center"/>
            <w:hideMark/>
          </w:tcPr>
          <w:p w14:paraId="2E64AE4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2.9835</w:t>
            </w:r>
          </w:p>
        </w:tc>
      </w:tr>
      <w:tr w:rsidR="00D923A9" w:rsidRPr="00D923A9" w14:paraId="4BDAB834" w14:textId="77777777" w:rsidTr="00D923A9">
        <w:trPr>
          <w:cantSplit/>
          <w:jc w:val="center"/>
        </w:trPr>
        <w:tc>
          <w:tcPr>
            <w:tcW w:w="1420" w:type="dxa"/>
            <w:vMerge/>
            <w:vAlign w:val="center"/>
            <w:hideMark/>
          </w:tcPr>
          <w:p w14:paraId="6CF2BA8B"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36EB534B"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7CE7343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-1.00000</w:t>
            </w:r>
          </w:p>
        </w:tc>
        <w:tc>
          <w:tcPr>
            <w:tcW w:w="1038" w:type="dxa"/>
            <w:shd w:val="clear" w:color="auto" w:fill="FFFFFF"/>
            <w:vAlign w:val="center"/>
            <w:hideMark/>
          </w:tcPr>
          <w:p w14:paraId="4CCA34B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455F0B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.959</w:t>
            </w:r>
          </w:p>
        </w:tc>
        <w:tc>
          <w:tcPr>
            <w:tcW w:w="1339" w:type="dxa"/>
            <w:shd w:val="clear" w:color="auto" w:fill="FFFFFF"/>
            <w:vAlign w:val="center"/>
            <w:hideMark/>
          </w:tcPr>
          <w:p w14:paraId="7001070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-3.6335</w:t>
            </w:r>
          </w:p>
        </w:tc>
        <w:tc>
          <w:tcPr>
            <w:tcW w:w="1388" w:type="dxa"/>
            <w:shd w:val="clear" w:color="auto" w:fill="FFFFFF"/>
            <w:vAlign w:val="center"/>
            <w:hideMark/>
          </w:tcPr>
          <w:p w14:paraId="72769FB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1.6335</w:t>
            </w:r>
          </w:p>
        </w:tc>
      </w:tr>
      <w:tr w:rsidR="00D923A9" w:rsidRPr="00D923A9" w14:paraId="2F909A0D" w14:textId="77777777" w:rsidTr="00D923A9">
        <w:trPr>
          <w:cantSplit/>
          <w:jc w:val="center"/>
        </w:trPr>
        <w:tc>
          <w:tcPr>
            <w:tcW w:w="1420" w:type="dxa"/>
            <w:vMerge/>
            <w:vAlign w:val="center"/>
            <w:hideMark/>
          </w:tcPr>
          <w:p w14:paraId="20D972B1"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111B4E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2F571D5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3.30000</w:t>
            </w:r>
            <w:r w:rsidRPr="00D923A9">
              <w:rPr>
                <w:color w:val="000000" w:themeColor="text1"/>
                <w:sz w:val="16"/>
                <w:szCs w:val="16"/>
                <w:vertAlign w:val="superscript"/>
              </w:rPr>
              <w:t>*</w:t>
            </w:r>
          </w:p>
        </w:tc>
        <w:tc>
          <w:tcPr>
            <w:tcW w:w="1038" w:type="dxa"/>
            <w:shd w:val="clear" w:color="auto" w:fill="FFFFFF"/>
            <w:vAlign w:val="center"/>
            <w:hideMark/>
          </w:tcPr>
          <w:p w14:paraId="3C0DC81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7C1A4E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.003</w:t>
            </w:r>
          </w:p>
        </w:tc>
        <w:tc>
          <w:tcPr>
            <w:tcW w:w="1339" w:type="dxa"/>
            <w:shd w:val="clear" w:color="auto" w:fill="FFFFFF"/>
            <w:vAlign w:val="center"/>
            <w:hideMark/>
          </w:tcPr>
          <w:p w14:paraId="5AE0BCA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.6665</w:t>
            </w:r>
          </w:p>
        </w:tc>
        <w:tc>
          <w:tcPr>
            <w:tcW w:w="1388" w:type="dxa"/>
            <w:shd w:val="clear" w:color="auto" w:fill="FFFFFF"/>
            <w:vAlign w:val="center"/>
            <w:hideMark/>
          </w:tcPr>
          <w:p w14:paraId="7AB291C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5.9335</w:t>
            </w:r>
          </w:p>
        </w:tc>
      </w:tr>
      <w:tr w:rsidR="00D923A9" w:rsidRPr="00D923A9" w14:paraId="03D6E6CC" w14:textId="77777777" w:rsidTr="00D923A9">
        <w:trPr>
          <w:cantSplit/>
          <w:jc w:val="center"/>
        </w:trPr>
        <w:tc>
          <w:tcPr>
            <w:tcW w:w="1420" w:type="dxa"/>
            <w:vMerge w:val="restart"/>
            <w:shd w:val="clear" w:color="auto" w:fill="FFFFFF"/>
            <w:vAlign w:val="center"/>
            <w:hideMark/>
          </w:tcPr>
          <w:p w14:paraId="5972B54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2525" w:type="dxa"/>
            <w:shd w:val="clear" w:color="auto" w:fill="FFFFFF"/>
            <w:vAlign w:val="center"/>
            <w:hideMark/>
          </w:tcPr>
          <w:p w14:paraId="20A0FC0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5AF1317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-1.90000</w:t>
            </w:r>
          </w:p>
        </w:tc>
        <w:tc>
          <w:tcPr>
            <w:tcW w:w="1038" w:type="dxa"/>
            <w:shd w:val="clear" w:color="auto" w:fill="FFFFFF"/>
            <w:vAlign w:val="center"/>
            <w:hideMark/>
          </w:tcPr>
          <w:p w14:paraId="72049B4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5C5808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w:t>
            </w:r>
          </w:p>
        </w:tc>
        <w:tc>
          <w:tcPr>
            <w:tcW w:w="1339" w:type="dxa"/>
            <w:shd w:val="clear" w:color="auto" w:fill="FFFFFF"/>
            <w:vAlign w:val="center"/>
            <w:hideMark/>
          </w:tcPr>
          <w:p w14:paraId="74DFB7F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-4.5335</w:t>
            </w:r>
          </w:p>
        </w:tc>
        <w:tc>
          <w:tcPr>
            <w:tcW w:w="1388" w:type="dxa"/>
            <w:shd w:val="clear" w:color="auto" w:fill="FFFFFF"/>
            <w:vAlign w:val="center"/>
            <w:hideMark/>
          </w:tcPr>
          <w:p w14:paraId="45A2710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.7335</w:t>
            </w:r>
          </w:p>
        </w:tc>
      </w:tr>
      <w:tr w:rsidR="00D923A9" w:rsidRPr="00D923A9" w14:paraId="33AFB706" w14:textId="77777777" w:rsidTr="00D923A9">
        <w:trPr>
          <w:cantSplit/>
          <w:jc w:val="center"/>
        </w:trPr>
        <w:tc>
          <w:tcPr>
            <w:tcW w:w="1420" w:type="dxa"/>
            <w:vMerge/>
            <w:vAlign w:val="center"/>
            <w:hideMark/>
          </w:tcPr>
          <w:p w14:paraId="6660DE00"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D318130"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5F35EA7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-1.12500</w:t>
            </w:r>
          </w:p>
        </w:tc>
        <w:tc>
          <w:tcPr>
            <w:tcW w:w="1038" w:type="dxa"/>
            <w:shd w:val="clear" w:color="auto" w:fill="FFFFFF"/>
            <w:vAlign w:val="center"/>
            <w:hideMark/>
          </w:tcPr>
          <w:p w14:paraId="327019B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197567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.921</w:t>
            </w:r>
          </w:p>
        </w:tc>
        <w:tc>
          <w:tcPr>
            <w:tcW w:w="1339" w:type="dxa"/>
            <w:shd w:val="clear" w:color="auto" w:fill="FFFFFF"/>
            <w:vAlign w:val="center"/>
            <w:hideMark/>
          </w:tcPr>
          <w:p w14:paraId="75DC52D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-3.7585</w:t>
            </w:r>
          </w:p>
        </w:tc>
        <w:tc>
          <w:tcPr>
            <w:tcW w:w="1388" w:type="dxa"/>
            <w:shd w:val="clear" w:color="auto" w:fill="FFFFFF"/>
            <w:vAlign w:val="center"/>
            <w:hideMark/>
          </w:tcPr>
          <w:p w14:paraId="2063E75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1.5085</w:t>
            </w:r>
          </w:p>
        </w:tc>
      </w:tr>
      <w:tr w:rsidR="00D923A9" w:rsidRPr="00D923A9" w14:paraId="2F95597D" w14:textId="77777777" w:rsidTr="00D923A9">
        <w:trPr>
          <w:cantSplit/>
          <w:jc w:val="center"/>
        </w:trPr>
        <w:tc>
          <w:tcPr>
            <w:tcW w:w="1420" w:type="dxa"/>
            <w:vMerge/>
            <w:vAlign w:val="center"/>
            <w:hideMark/>
          </w:tcPr>
          <w:p w14:paraId="770D2BA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F50BB00"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6722C94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-.50000</w:t>
            </w:r>
          </w:p>
        </w:tc>
        <w:tc>
          <w:tcPr>
            <w:tcW w:w="1038" w:type="dxa"/>
            <w:shd w:val="clear" w:color="auto" w:fill="FFFFFF"/>
            <w:vAlign w:val="center"/>
            <w:hideMark/>
          </w:tcPr>
          <w:p w14:paraId="3C90F10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F7A740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37C2010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-3.1335</w:t>
            </w:r>
          </w:p>
        </w:tc>
        <w:tc>
          <w:tcPr>
            <w:tcW w:w="1388" w:type="dxa"/>
            <w:shd w:val="clear" w:color="auto" w:fill="FFFFFF"/>
            <w:vAlign w:val="center"/>
            <w:hideMark/>
          </w:tcPr>
          <w:p w14:paraId="28ADD37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2.1335</w:t>
            </w:r>
          </w:p>
        </w:tc>
      </w:tr>
      <w:tr w:rsidR="00D923A9" w:rsidRPr="00D923A9" w14:paraId="7F321D43" w14:textId="77777777" w:rsidTr="00D923A9">
        <w:trPr>
          <w:cantSplit/>
          <w:jc w:val="center"/>
        </w:trPr>
        <w:tc>
          <w:tcPr>
            <w:tcW w:w="1420" w:type="dxa"/>
            <w:vMerge/>
            <w:vAlign w:val="center"/>
            <w:hideMark/>
          </w:tcPr>
          <w:p w14:paraId="0F96D62C"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8A30D9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124CDE6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-.77500</w:t>
            </w:r>
          </w:p>
        </w:tc>
        <w:tc>
          <w:tcPr>
            <w:tcW w:w="1038" w:type="dxa"/>
            <w:shd w:val="clear" w:color="auto" w:fill="FFFFFF"/>
            <w:vAlign w:val="center"/>
            <w:hideMark/>
          </w:tcPr>
          <w:p w14:paraId="29FDD88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A67D61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.992</w:t>
            </w:r>
          </w:p>
        </w:tc>
        <w:tc>
          <w:tcPr>
            <w:tcW w:w="1339" w:type="dxa"/>
            <w:shd w:val="clear" w:color="auto" w:fill="FFFFFF"/>
            <w:vAlign w:val="center"/>
            <w:hideMark/>
          </w:tcPr>
          <w:p w14:paraId="4C8BC75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-3.4085</w:t>
            </w:r>
          </w:p>
        </w:tc>
        <w:tc>
          <w:tcPr>
            <w:tcW w:w="1388" w:type="dxa"/>
            <w:shd w:val="clear" w:color="auto" w:fill="FFFFFF"/>
            <w:vAlign w:val="center"/>
            <w:hideMark/>
          </w:tcPr>
          <w:p w14:paraId="296ABF1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1.8585</w:t>
            </w:r>
          </w:p>
        </w:tc>
      </w:tr>
      <w:tr w:rsidR="00D923A9" w:rsidRPr="00D923A9" w14:paraId="16A5880A" w14:textId="77777777" w:rsidTr="00D923A9">
        <w:trPr>
          <w:cantSplit/>
          <w:jc w:val="center"/>
        </w:trPr>
        <w:tc>
          <w:tcPr>
            <w:tcW w:w="1420" w:type="dxa"/>
            <w:vMerge/>
            <w:vAlign w:val="center"/>
            <w:hideMark/>
          </w:tcPr>
          <w:p w14:paraId="409984DB"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5C8AA69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4E25D15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-.37500</w:t>
            </w:r>
          </w:p>
        </w:tc>
        <w:tc>
          <w:tcPr>
            <w:tcW w:w="1038" w:type="dxa"/>
            <w:shd w:val="clear" w:color="auto" w:fill="FFFFFF"/>
            <w:vAlign w:val="center"/>
            <w:hideMark/>
          </w:tcPr>
          <w:p w14:paraId="1BDBB77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71A1C0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1FB33E6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-3.0085</w:t>
            </w:r>
          </w:p>
        </w:tc>
        <w:tc>
          <w:tcPr>
            <w:tcW w:w="1388" w:type="dxa"/>
            <w:shd w:val="clear" w:color="auto" w:fill="FFFFFF"/>
            <w:vAlign w:val="center"/>
            <w:hideMark/>
          </w:tcPr>
          <w:p w14:paraId="3A6D857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2.2585</w:t>
            </w:r>
          </w:p>
        </w:tc>
      </w:tr>
      <w:tr w:rsidR="00D923A9" w:rsidRPr="00D923A9" w14:paraId="08ADA65D" w14:textId="77777777" w:rsidTr="00D923A9">
        <w:trPr>
          <w:cantSplit/>
          <w:jc w:val="center"/>
        </w:trPr>
        <w:tc>
          <w:tcPr>
            <w:tcW w:w="1420" w:type="dxa"/>
            <w:vMerge/>
            <w:vAlign w:val="center"/>
            <w:hideMark/>
          </w:tcPr>
          <w:p w14:paraId="67609364"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F034029"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3AC1671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-.35000</w:t>
            </w:r>
          </w:p>
        </w:tc>
        <w:tc>
          <w:tcPr>
            <w:tcW w:w="1038" w:type="dxa"/>
            <w:shd w:val="clear" w:color="auto" w:fill="FFFFFF"/>
            <w:vAlign w:val="center"/>
            <w:hideMark/>
          </w:tcPr>
          <w:p w14:paraId="289DDE6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B6A4D4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4824065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-2.9835</w:t>
            </w:r>
          </w:p>
        </w:tc>
        <w:tc>
          <w:tcPr>
            <w:tcW w:w="1388" w:type="dxa"/>
            <w:shd w:val="clear" w:color="auto" w:fill="FFFFFF"/>
            <w:vAlign w:val="center"/>
            <w:hideMark/>
          </w:tcPr>
          <w:p w14:paraId="29143E7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2.2835</w:t>
            </w:r>
          </w:p>
        </w:tc>
      </w:tr>
      <w:tr w:rsidR="00D923A9" w:rsidRPr="00D923A9" w14:paraId="0DAF9311" w14:textId="77777777" w:rsidTr="00D923A9">
        <w:trPr>
          <w:cantSplit/>
          <w:jc w:val="center"/>
        </w:trPr>
        <w:tc>
          <w:tcPr>
            <w:tcW w:w="1420" w:type="dxa"/>
            <w:vMerge/>
            <w:vAlign w:val="center"/>
            <w:hideMark/>
          </w:tcPr>
          <w:p w14:paraId="08D401AD"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850ECB0"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shd w:val="clear" w:color="auto" w:fill="FFFFFF"/>
            <w:vAlign w:val="center"/>
            <w:hideMark/>
          </w:tcPr>
          <w:p w14:paraId="6395078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-1.35000</w:t>
            </w:r>
          </w:p>
        </w:tc>
        <w:tc>
          <w:tcPr>
            <w:tcW w:w="1038" w:type="dxa"/>
            <w:shd w:val="clear" w:color="auto" w:fill="FFFFFF"/>
            <w:vAlign w:val="center"/>
            <w:hideMark/>
          </w:tcPr>
          <w:p w14:paraId="674EE65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8E6793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.804</w:t>
            </w:r>
          </w:p>
        </w:tc>
        <w:tc>
          <w:tcPr>
            <w:tcW w:w="1339" w:type="dxa"/>
            <w:shd w:val="clear" w:color="auto" w:fill="FFFFFF"/>
            <w:vAlign w:val="center"/>
            <w:hideMark/>
          </w:tcPr>
          <w:p w14:paraId="1CC4C08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-3.9835</w:t>
            </w:r>
          </w:p>
        </w:tc>
        <w:tc>
          <w:tcPr>
            <w:tcW w:w="1388" w:type="dxa"/>
            <w:shd w:val="clear" w:color="auto" w:fill="FFFFFF"/>
            <w:vAlign w:val="center"/>
            <w:hideMark/>
          </w:tcPr>
          <w:p w14:paraId="431B699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1.2835</w:t>
            </w:r>
          </w:p>
        </w:tc>
      </w:tr>
      <w:tr w:rsidR="00D923A9" w:rsidRPr="00D923A9" w14:paraId="0D20F2B8" w14:textId="77777777" w:rsidTr="00D923A9">
        <w:trPr>
          <w:cantSplit/>
          <w:jc w:val="center"/>
        </w:trPr>
        <w:tc>
          <w:tcPr>
            <w:tcW w:w="1420" w:type="dxa"/>
            <w:vMerge/>
            <w:vAlign w:val="center"/>
            <w:hideMark/>
          </w:tcPr>
          <w:p w14:paraId="23A99D4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3D03D68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5748FCA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2.95000</w:t>
            </w:r>
            <w:r w:rsidRPr="00D923A9">
              <w:rPr>
                <w:color w:val="000000" w:themeColor="text1"/>
                <w:sz w:val="16"/>
                <w:szCs w:val="16"/>
                <w:vertAlign w:val="superscript"/>
              </w:rPr>
              <w:t>*</w:t>
            </w:r>
          </w:p>
        </w:tc>
        <w:tc>
          <w:tcPr>
            <w:tcW w:w="1038" w:type="dxa"/>
            <w:shd w:val="clear" w:color="auto" w:fill="FFFFFF"/>
            <w:vAlign w:val="center"/>
            <w:hideMark/>
          </w:tcPr>
          <w:p w14:paraId="2611CB8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3B964E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.015</w:t>
            </w:r>
          </w:p>
        </w:tc>
        <w:tc>
          <w:tcPr>
            <w:tcW w:w="1339" w:type="dxa"/>
            <w:shd w:val="clear" w:color="auto" w:fill="FFFFFF"/>
            <w:vAlign w:val="center"/>
            <w:hideMark/>
          </w:tcPr>
          <w:p w14:paraId="4A61364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.3165</w:t>
            </w:r>
          </w:p>
        </w:tc>
        <w:tc>
          <w:tcPr>
            <w:tcW w:w="1388" w:type="dxa"/>
            <w:shd w:val="clear" w:color="auto" w:fill="FFFFFF"/>
            <w:vAlign w:val="center"/>
            <w:hideMark/>
          </w:tcPr>
          <w:p w14:paraId="0E6D2B4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5.5835</w:t>
            </w:r>
          </w:p>
        </w:tc>
      </w:tr>
      <w:tr w:rsidR="00D923A9" w:rsidRPr="00D923A9" w14:paraId="28286A24" w14:textId="77777777" w:rsidTr="00D923A9">
        <w:trPr>
          <w:cantSplit/>
          <w:jc w:val="center"/>
        </w:trPr>
        <w:tc>
          <w:tcPr>
            <w:tcW w:w="1420" w:type="dxa"/>
            <w:vMerge w:val="restart"/>
            <w:shd w:val="clear" w:color="auto" w:fill="FFFFFF"/>
            <w:vAlign w:val="center"/>
            <w:hideMark/>
          </w:tcPr>
          <w:p w14:paraId="440C46B9"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2525" w:type="dxa"/>
            <w:shd w:val="clear" w:color="auto" w:fill="FFFFFF"/>
            <w:vAlign w:val="center"/>
            <w:hideMark/>
          </w:tcPr>
          <w:p w14:paraId="260204CB"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367EB49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-.55000</w:t>
            </w:r>
          </w:p>
        </w:tc>
        <w:tc>
          <w:tcPr>
            <w:tcW w:w="1038" w:type="dxa"/>
            <w:shd w:val="clear" w:color="auto" w:fill="FFFFFF"/>
            <w:vAlign w:val="center"/>
            <w:hideMark/>
          </w:tcPr>
          <w:p w14:paraId="35E1E9D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6D44AF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.999</w:t>
            </w:r>
          </w:p>
        </w:tc>
        <w:tc>
          <w:tcPr>
            <w:tcW w:w="1339" w:type="dxa"/>
            <w:shd w:val="clear" w:color="auto" w:fill="FFFFFF"/>
            <w:vAlign w:val="center"/>
            <w:hideMark/>
          </w:tcPr>
          <w:p w14:paraId="094D0DF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-3.1835</w:t>
            </w:r>
          </w:p>
        </w:tc>
        <w:tc>
          <w:tcPr>
            <w:tcW w:w="1388" w:type="dxa"/>
            <w:shd w:val="clear" w:color="auto" w:fill="FFFFFF"/>
            <w:vAlign w:val="center"/>
            <w:hideMark/>
          </w:tcPr>
          <w:p w14:paraId="6C1CCE6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2.0835</w:t>
            </w:r>
          </w:p>
        </w:tc>
      </w:tr>
      <w:tr w:rsidR="00D923A9" w:rsidRPr="00D923A9" w14:paraId="1A82CD12" w14:textId="77777777" w:rsidTr="00D923A9">
        <w:trPr>
          <w:cantSplit/>
          <w:jc w:val="center"/>
        </w:trPr>
        <w:tc>
          <w:tcPr>
            <w:tcW w:w="1420" w:type="dxa"/>
            <w:vMerge/>
            <w:vAlign w:val="center"/>
            <w:hideMark/>
          </w:tcPr>
          <w:p w14:paraId="317CBD9F"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19834EB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5D70513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.22500</w:t>
            </w:r>
          </w:p>
        </w:tc>
        <w:tc>
          <w:tcPr>
            <w:tcW w:w="1038" w:type="dxa"/>
            <w:shd w:val="clear" w:color="auto" w:fill="FFFFFF"/>
            <w:vAlign w:val="center"/>
            <w:hideMark/>
          </w:tcPr>
          <w:p w14:paraId="38E7CF4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007575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w:t>
            </w:r>
          </w:p>
        </w:tc>
        <w:tc>
          <w:tcPr>
            <w:tcW w:w="1339" w:type="dxa"/>
            <w:shd w:val="clear" w:color="auto" w:fill="FFFFFF"/>
            <w:vAlign w:val="center"/>
            <w:hideMark/>
          </w:tcPr>
          <w:p w14:paraId="24ADA2AF"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-2.4085</w:t>
            </w:r>
          </w:p>
        </w:tc>
        <w:tc>
          <w:tcPr>
            <w:tcW w:w="1388" w:type="dxa"/>
            <w:shd w:val="clear" w:color="auto" w:fill="FFFFFF"/>
            <w:vAlign w:val="center"/>
            <w:hideMark/>
          </w:tcPr>
          <w:p w14:paraId="3446C86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2.8585</w:t>
            </w:r>
          </w:p>
        </w:tc>
      </w:tr>
      <w:tr w:rsidR="00D923A9" w:rsidRPr="00D923A9" w14:paraId="6AE70878" w14:textId="77777777" w:rsidTr="00D923A9">
        <w:trPr>
          <w:cantSplit/>
          <w:jc w:val="center"/>
        </w:trPr>
        <w:tc>
          <w:tcPr>
            <w:tcW w:w="1420" w:type="dxa"/>
            <w:vMerge/>
            <w:vAlign w:val="center"/>
            <w:hideMark/>
          </w:tcPr>
          <w:p w14:paraId="2701E11D"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E25EA82"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5FA22FF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.85000</w:t>
            </w:r>
          </w:p>
        </w:tc>
        <w:tc>
          <w:tcPr>
            <w:tcW w:w="1038" w:type="dxa"/>
            <w:shd w:val="clear" w:color="auto" w:fill="FFFFFF"/>
            <w:vAlign w:val="center"/>
            <w:hideMark/>
          </w:tcPr>
          <w:p w14:paraId="6C167C5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5AD8B4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.985</w:t>
            </w:r>
          </w:p>
        </w:tc>
        <w:tc>
          <w:tcPr>
            <w:tcW w:w="1339" w:type="dxa"/>
            <w:shd w:val="clear" w:color="auto" w:fill="FFFFFF"/>
            <w:vAlign w:val="center"/>
            <w:hideMark/>
          </w:tcPr>
          <w:p w14:paraId="5DC5AD2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-1.7835</w:t>
            </w:r>
          </w:p>
        </w:tc>
        <w:tc>
          <w:tcPr>
            <w:tcW w:w="1388" w:type="dxa"/>
            <w:shd w:val="clear" w:color="auto" w:fill="FFFFFF"/>
            <w:vAlign w:val="center"/>
            <w:hideMark/>
          </w:tcPr>
          <w:p w14:paraId="0390F3D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3.4835</w:t>
            </w:r>
          </w:p>
        </w:tc>
      </w:tr>
      <w:tr w:rsidR="00D923A9" w:rsidRPr="00D923A9" w14:paraId="528E8BD8" w14:textId="77777777" w:rsidTr="00D923A9">
        <w:trPr>
          <w:cantSplit/>
          <w:jc w:val="center"/>
        </w:trPr>
        <w:tc>
          <w:tcPr>
            <w:tcW w:w="1420" w:type="dxa"/>
            <w:vMerge/>
            <w:vAlign w:val="center"/>
            <w:hideMark/>
          </w:tcPr>
          <w:p w14:paraId="3C3CD87C"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549CE50"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7B7C8E8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.57500</w:t>
            </w:r>
          </w:p>
        </w:tc>
        <w:tc>
          <w:tcPr>
            <w:tcW w:w="1038" w:type="dxa"/>
            <w:shd w:val="clear" w:color="auto" w:fill="FFFFFF"/>
            <w:vAlign w:val="center"/>
            <w:hideMark/>
          </w:tcPr>
          <w:p w14:paraId="7475BFF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6452539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.999</w:t>
            </w:r>
          </w:p>
        </w:tc>
        <w:tc>
          <w:tcPr>
            <w:tcW w:w="1339" w:type="dxa"/>
            <w:shd w:val="clear" w:color="auto" w:fill="FFFFFF"/>
            <w:vAlign w:val="center"/>
            <w:hideMark/>
          </w:tcPr>
          <w:p w14:paraId="455E11F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-2.0585</w:t>
            </w:r>
          </w:p>
        </w:tc>
        <w:tc>
          <w:tcPr>
            <w:tcW w:w="1388" w:type="dxa"/>
            <w:shd w:val="clear" w:color="auto" w:fill="FFFFFF"/>
            <w:vAlign w:val="center"/>
            <w:hideMark/>
          </w:tcPr>
          <w:p w14:paraId="44E2F99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3.2085</w:t>
            </w:r>
          </w:p>
        </w:tc>
      </w:tr>
      <w:tr w:rsidR="00D923A9" w:rsidRPr="00D923A9" w14:paraId="52AD660B" w14:textId="77777777" w:rsidTr="00D923A9">
        <w:trPr>
          <w:cantSplit/>
          <w:jc w:val="center"/>
        </w:trPr>
        <w:tc>
          <w:tcPr>
            <w:tcW w:w="1420" w:type="dxa"/>
            <w:vMerge/>
            <w:vAlign w:val="center"/>
            <w:hideMark/>
          </w:tcPr>
          <w:p w14:paraId="4197C3D2"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76402DC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1728E0A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.97500</w:t>
            </w:r>
          </w:p>
        </w:tc>
        <w:tc>
          <w:tcPr>
            <w:tcW w:w="1038" w:type="dxa"/>
            <w:shd w:val="clear" w:color="auto" w:fill="FFFFFF"/>
            <w:vAlign w:val="center"/>
            <w:hideMark/>
          </w:tcPr>
          <w:p w14:paraId="163EDA0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43E3DD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.965</w:t>
            </w:r>
          </w:p>
        </w:tc>
        <w:tc>
          <w:tcPr>
            <w:tcW w:w="1339" w:type="dxa"/>
            <w:shd w:val="clear" w:color="auto" w:fill="FFFFFF"/>
            <w:vAlign w:val="center"/>
            <w:hideMark/>
          </w:tcPr>
          <w:p w14:paraId="62D6528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-1.6585</w:t>
            </w:r>
          </w:p>
        </w:tc>
        <w:tc>
          <w:tcPr>
            <w:tcW w:w="1388" w:type="dxa"/>
            <w:shd w:val="clear" w:color="auto" w:fill="FFFFFF"/>
            <w:vAlign w:val="center"/>
            <w:hideMark/>
          </w:tcPr>
          <w:p w14:paraId="532878C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3.6085</w:t>
            </w:r>
          </w:p>
        </w:tc>
      </w:tr>
      <w:tr w:rsidR="00D923A9" w:rsidRPr="00D923A9" w14:paraId="315DAD0B" w14:textId="77777777" w:rsidTr="00D923A9">
        <w:trPr>
          <w:cantSplit/>
          <w:jc w:val="center"/>
        </w:trPr>
        <w:tc>
          <w:tcPr>
            <w:tcW w:w="1420" w:type="dxa"/>
            <w:vMerge/>
            <w:vAlign w:val="center"/>
            <w:hideMark/>
          </w:tcPr>
          <w:p w14:paraId="61309D5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11121A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2944874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1.00000</w:t>
            </w:r>
          </w:p>
        </w:tc>
        <w:tc>
          <w:tcPr>
            <w:tcW w:w="1038" w:type="dxa"/>
            <w:shd w:val="clear" w:color="auto" w:fill="FFFFFF"/>
            <w:vAlign w:val="center"/>
            <w:hideMark/>
          </w:tcPr>
          <w:p w14:paraId="45060AC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13D759C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.959</w:t>
            </w:r>
          </w:p>
        </w:tc>
        <w:tc>
          <w:tcPr>
            <w:tcW w:w="1339" w:type="dxa"/>
            <w:shd w:val="clear" w:color="auto" w:fill="FFFFFF"/>
            <w:vAlign w:val="center"/>
            <w:hideMark/>
          </w:tcPr>
          <w:p w14:paraId="479C85C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-1.6335</w:t>
            </w:r>
          </w:p>
        </w:tc>
        <w:tc>
          <w:tcPr>
            <w:tcW w:w="1388" w:type="dxa"/>
            <w:shd w:val="clear" w:color="auto" w:fill="FFFFFF"/>
            <w:vAlign w:val="center"/>
            <w:hideMark/>
          </w:tcPr>
          <w:p w14:paraId="5AC4221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3.6335</w:t>
            </w:r>
          </w:p>
        </w:tc>
      </w:tr>
      <w:tr w:rsidR="00D923A9" w:rsidRPr="00D923A9" w14:paraId="1C4EAF90" w14:textId="77777777" w:rsidTr="00D923A9">
        <w:trPr>
          <w:cantSplit/>
          <w:jc w:val="center"/>
        </w:trPr>
        <w:tc>
          <w:tcPr>
            <w:tcW w:w="1420" w:type="dxa"/>
            <w:vMerge/>
            <w:vAlign w:val="center"/>
            <w:hideMark/>
          </w:tcPr>
          <w:p w14:paraId="71C45828"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1476FC9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33C491F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1.35000</w:t>
            </w:r>
          </w:p>
        </w:tc>
        <w:tc>
          <w:tcPr>
            <w:tcW w:w="1038" w:type="dxa"/>
            <w:shd w:val="clear" w:color="auto" w:fill="FFFFFF"/>
            <w:vAlign w:val="center"/>
            <w:hideMark/>
          </w:tcPr>
          <w:p w14:paraId="172035D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9BDC6F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.804</w:t>
            </w:r>
          </w:p>
        </w:tc>
        <w:tc>
          <w:tcPr>
            <w:tcW w:w="1339" w:type="dxa"/>
            <w:shd w:val="clear" w:color="auto" w:fill="FFFFFF"/>
            <w:vAlign w:val="center"/>
            <w:hideMark/>
          </w:tcPr>
          <w:p w14:paraId="1087512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-1.2835</w:t>
            </w:r>
          </w:p>
        </w:tc>
        <w:tc>
          <w:tcPr>
            <w:tcW w:w="1388" w:type="dxa"/>
            <w:shd w:val="clear" w:color="auto" w:fill="FFFFFF"/>
            <w:vAlign w:val="center"/>
            <w:hideMark/>
          </w:tcPr>
          <w:p w14:paraId="3241AB2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3.9835</w:t>
            </w:r>
          </w:p>
        </w:tc>
      </w:tr>
      <w:tr w:rsidR="00D923A9" w:rsidRPr="00D923A9" w14:paraId="611A210A" w14:textId="77777777" w:rsidTr="00D923A9">
        <w:trPr>
          <w:cantSplit/>
          <w:jc w:val="center"/>
        </w:trPr>
        <w:tc>
          <w:tcPr>
            <w:tcW w:w="1420" w:type="dxa"/>
            <w:vMerge/>
            <w:vAlign w:val="center"/>
            <w:hideMark/>
          </w:tcPr>
          <w:p w14:paraId="11B1DEFD"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FC441C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Other Customer Recommendations</w:t>
            </w:r>
          </w:p>
        </w:tc>
        <w:tc>
          <w:tcPr>
            <w:tcW w:w="1226" w:type="dxa"/>
            <w:shd w:val="clear" w:color="auto" w:fill="FFFFFF"/>
            <w:vAlign w:val="center"/>
            <w:hideMark/>
          </w:tcPr>
          <w:p w14:paraId="571DA15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4.30000</w:t>
            </w:r>
            <w:r w:rsidRPr="00D923A9">
              <w:rPr>
                <w:color w:val="000000" w:themeColor="text1"/>
                <w:sz w:val="16"/>
                <w:szCs w:val="16"/>
                <w:vertAlign w:val="superscript"/>
              </w:rPr>
              <w:t>*</w:t>
            </w:r>
          </w:p>
        </w:tc>
        <w:tc>
          <w:tcPr>
            <w:tcW w:w="1038" w:type="dxa"/>
            <w:shd w:val="clear" w:color="auto" w:fill="FFFFFF"/>
            <w:vAlign w:val="center"/>
            <w:hideMark/>
          </w:tcPr>
          <w:p w14:paraId="26C3DCF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301302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1FA0E6A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1.6665</w:t>
            </w:r>
          </w:p>
        </w:tc>
        <w:tc>
          <w:tcPr>
            <w:tcW w:w="1388" w:type="dxa"/>
            <w:shd w:val="clear" w:color="auto" w:fill="FFFFFF"/>
            <w:vAlign w:val="center"/>
            <w:hideMark/>
          </w:tcPr>
          <w:p w14:paraId="7ABDDED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6.9335</w:t>
            </w:r>
          </w:p>
        </w:tc>
      </w:tr>
      <w:tr w:rsidR="00D923A9" w:rsidRPr="00D923A9" w14:paraId="6C6673B7" w14:textId="77777777" w:rsidTr="00D923A9">
        <w:trPr>
          <w:cantSplit/>
          <w:jc w:val="center"/>
        </w:trPr>
        <w:tc>
          <w:tcPr>
            <w:tcW w:w="1420" w:type="dxa"/>
            <w:vMerge w:val="restart"/>
            <w:shd w:val="clear" w:color="auto" w:fill="FFFFFF"/>
            <w:vAlign w:val="center"/>
            <w:hideMark/>
          </w:tcPr>
          <w:p w14:paraId="42725520" w14:textId="77777777" w:rsidR="000C5B55" w:rsidRPr="00D923A9" w:rsidRDefault="000C5B55" w:rsidP="00D923A9">
            <w:pPr>
              <w:adjustRightInd w:val="0"/>
              <w:spacing w:before="0" w:after="0" w:line="240" w:lineRule="auto"/>
              <w:ind w:left="60" w:right="60"/>
              <w:jc w:val="left"/>
              <w:rPr>
                <w:color w:val="000000" w:themeColor="text1"/>
                <w:sz w:val="16"/>
                <w:szCs w:val="16"/>
              </w:rPr>
            </w:pPr>
            <w:r w:rsidRPr="00D923A9">
              <w:rPr>
                <w:color w:val="000000" w:themeColor="text1"/>
                <w:sz w:val="16"/>
                <w:szCs w:val="16"/>
              </w:rPr>
              <w:t>Other Customer Recommendations</w:t>
            </w:r>
          </w:p>
        </w:tc>
        <w:tc>
          <w:tcPr>
            <w:tcW w:w="2525" w:type="dxa"/>
            <w:shd w:val="clear" w:color="auto" w:fill="FFFFFF"/>
            <w:vAlign w:val="center"/>
            <w:hideMark/>
          </w:tcPr>
          <w:p w14:paraId="373873F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Price</w:t>
            </w:r>
          </w:p>
        </w:tc>
        <w:tc>
          <w:tcPr>
            <w:tcW w:w="1226" w:type="dxa"/>
            <w:shd w:val="clear" w:color="auto" w:fill="FFFFFF"/>
            <w:vAlign w:val="center"/>
            <w:hideMark/>
          </w:tcPr>
          <w:p w14:paraId="0BC554D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-4.85000</w:t>
            </w:r>
            <w:r w:rsidRPr="00D923A9">
              <w:rPr>
                <w:color w:val="000000" w:themeColor="text1"/>
                <w:sz w:val="16"/>
                <w:szCs w:val="16"/>
                <w:vertAlign w:val="superscript"/>
              </w:rPr>
              <w:t>*</w:t>
            </w:r>
          </w:p>
        </w:tc>
        <w:tc>
          <w:tcPr>
            <w:tcW w:w="1038" w:type="dxa"/>
            <w:shd w:val="clear" w:color="auto" w:fill="FFFFFF"/>
            <w:vAlign w:val="center"/>
            <w:hideMark/>
          </w:tcPr>
          <w:p w14:paraId="2C54D05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4CC871D7"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40C42AB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-7.4835</w:t>
            </w:r>
          </w:p>
        </w:tc>
        <w:tc>
          <w:tcPr>
            <w:tcW w:w="1388" w:type="dxa"/>
            <w:shd w:val="clear" w:color="auto" w:fill="FFFFFF"/>
            <w:vAlign w:val="center"/>
            <w:hideMark/>
          </w:tcPr>
          <w:p w14:paraId="40A7474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-2.2165</w:t>
            </w:r>
          </w:p>
        </w:tc>
      </w:tr>
      <w:tr w:rsidR="00D923A9" w:rsidRPr="00D923A9" w14:paraId="7257B6FA" w14:textId="77777777" w:rsidTr="00D923A9">
        <w:trPr>
          <w:cantSplit/>
          <w:jc w:val="center"/>
        </w:trPr>
        <w:tc>
          <w:tcPr>
            <w:tcW w:w="1420" w:type="dxa"/>
            <w:vMerge/>
            <w:vAlign w:val="center"/>
            <w:hideMark/>
          </w:tcPr>
          <w:p w14:paraId="3172162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00C90548"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Reputation</w:t>
            </w:r>
          </w:p>
        </w:tc>
        <w:tc>
          <w:tcPr>
            <w:tcW w:w="1226" w:type="dxa"/>
            <w:shd w:val="clear" w:color="auto" w:fill="FFFFFF"/>
            <w:vAlign w:val="center"/>
            <w:hideMark/>
          </w:tcPr>
          <w:p w14:paraId="3ADC3B3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-4.07500</w:t>
            </w:r>
            <w:r w:rsidRPr="00D923A9">
              <w:rPr>
                <w:color w:val="000000" w:themeColor="text1"/>
                <w:sz w:val="16"/>
                <w:szCs w:val="16"/>
                <w:vertAlign w:val="superscript"/>
              </w:rPr>
              <w:t>*</w:t>
            </w:r>
          </w:p>
        </w:tc>
        <w:tc>
          <w:tcPr>
            <w:tcW w:w="1038" w:type="dxa"/>
            <w:shd w:val="clear" w:color="auto" w:fill="FFFFFF"/>
            <w:vAlign w:val="center"/>
            <w:hideMark/>
          </w:tcPr>
          <w:p w14:paraId="2DD8F00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67CCDD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2CF1FC7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-6.7085</w:t>
            </w:r>
          </w:p>
        </w:tc>
        <w:tc>
          <w:tcPr>
            <w:tcW w:w="1388" w:type="dxa"/>
            <w:shd w:val="clear" w:color="auto" w:fill="FFFFFF"/>
            <w:vAlign w:val="center"/>
            <w:hideMark/>
          </w:tcPr>
          <w:p w14:paraId="5A6F13CE"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-1.4415</w:t>
            </w:r>
          </w:p>
        </w:tc>
      </w:tr>
      <w:tr w:rsidR="00D923A9" w:rsidRPr="00D923A9" w14:paraId="4FF7F360" w14:textId="77777777" w:rsidTr="00D923A9">
        <w:trPr>
          <w:cantSplit/>
          <w:jc w:val="center"/>
        </w:trPr>
        <w:tc>
          <w:tcPr>
            <w:tcW w:w="1420" w:type="dxa"/>
            <w:vMerge/>
            <w:vAlign w:val="center"/>
            <w:hideMark/>
          </w:tcPr>
          <w:p w14:paraId="2A13794D"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82148C7"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Quality of Service</w:t>
            </w:r>
          </w:p>
        </w:tc>
        <w:tc>
          <w:tcPr>
            <w:tcW w:w="1226" w:type="dxa"/>
            <w:shd w:val="clear" w:color="auto" w:fill="FFFFFF"/>
            <w:vAlign w:val="center"/>
            <w:hideMark/>
          </w:tcPr>
          <w:p w14:paraId="3FF1D0E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-3.45000</w:t>
            </w:r>
            <w:r w:rsidRPr="00D923A9">
              <w:rPr>
                <w:color w:val="000000" w:themeColor="text1"/>
                <w:sz w:val="16"/>
                <w:szCs w:val="16"/>
                <w:vertAlign w:val="superscript"/>
              </w:rPr>
              <w:t>*</w:t>
            </w:r>
          </w:p>
        </w:tc>
        <w:tc>
          <w:tcPr>
            <w:tcW w:w="1038" w:type="dxa"/>
            <w:shd w:val="clear" w:color="auto" w:fill="FFFFFF"/>
            <w:vAlign w:val="center"/>
            <w:hideMark/>
          </w:tcPr>
          <w:p w14:paraId="3AE85396"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7DDB6C4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.002</w:t>
            </w:r>
          </w:p>
        </w:tc>
        <w:tc>
          <w:tcPr>
            <w:tcW w:w="1339" w:type="dxa"/>
            <w:shd w:val="clear" w:color="auto" w:fill="FFFFFF"/>
            <w:vAlign w:val="center"/>
            <w:hideMark/>
          </w:tcPr>
          <w:p w14:paraId="65D5778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-6.0835</w:t>
            </w:r>
          </w:p>
        </w:tc>
        <w:tc>
          <w:tcPr>
            <w:tcW w:w="1388" w:type="dxa"/>
            <w:shd w:val="clear" w:color="auto" w:fill="FFFFFF"/>
            <w:vAlign w:val="center"/>
            <w:hideMark/>
          </w:tcPr>
          <w:p w14:paraId="4957FFA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-.8165</w:t>
            </w:r>
          </w:p>
        </w:tc>
      </w:tr>
      <w:tr w:rsidR="00D923A9" w:rsidRPr="00D923A9" w14:paraId="33097F8F" w14:textId="77777777" w:rsidTr="00D923A9">
        <w:trPr>
          <w:cantSplit/>
          <w:jc w:val="center"/>
        </w:trPr>
        <w:tc>
          <w:tcPr>
            <w:tcW w:w="1420" w:type="dxa"/>
            <w:vMerge/>
            <w:vAlign w:val="center"/>
            <w:hideMark/>
          </w:tcPr>
          <w:p w14:paraId="764082D0"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23E756B5"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Promotion</w:t>
            </w:r>
          </w:p>
        </w:tc>
        <w:tc>
          <w:tcPr>
            <w:tcW w:w="1226" w:type="dxa"/>
            <w:shd w:val="clear" w:color="auto" w:fill="FFFFFF"/>
            <w:vAlign w:val="center"/>
            <w:hideMark/>
          </w:tcPr>
          <w:p w14:paraId="7CF61C0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-3.72500</w:t>
            </w:r>
            <w:r w:rsidRPr="00D923A9">
              <w:rPr>
                <w:color w:val="000000" w:themeColor="text1"/>
                <w:sz w:val="16"/>
                <w:szCs w:val="16"/>
                <w:vertAlign w:val="superscript"/>
              </w:rPr>
              <w:t>*</w:t>
            </w:r>
          </w:p>
        </w:tc>
        <w:tc>
          <w:tcPr>
            <w:tcW w:w="1038" w:type="dxa"/>
            <w:shd w:val="clear" w:color="auto" w:fill="FFFFFF"/>
            <w:vAlign w:val="center"/>
            <w:hideMark/>
          </w:tcPr>
          <w:p w14:paraId="089DC37C"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2761339B"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shd w:val="clear" w:color="auto" w:fill="FFFFFF"/>
            <w:vAlign w:val="center"/>
            <w:hideMark/>
          </w:tcPr>
          <w:p w14:paraId="570586B1"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-6.3585</w:t>
            </w:r>
          </w:p>
        </w:tc>
        <w:tc>
          <w:tcPr>
            <w:tcW w:w="1388" w:type="dxa"/>
            <w:shd w:val="clear" w:color="auto" w:fill="FFFFFF"/>
            <w:vAlign w:val="center"/>
            <w:hideMark/>
          </w:tcPr>
          <w:p w14:paraId="0A0D15C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-1.0915</w:t>
            </w:r>
          </w:p>
        </w:tc>
      </w:tr>
      <w:tr w:rsidR="00D923A9" w:rsidRPr="00D923A9" w14:paraId="5B0314D2" w14:textId="77777777" w:rsidTr="00D923A9">
        <w:trPr>
          <w:cantSplit/>
          <w:jc w:val="center"/>
        </w:trPr>
        <w:tc>
          <w:tcPr>
            <w:tcW w:w="1420" w:type="dxa"/>
            <w:vMerge/>
            <w:vAlign w:val="center"/>
            <w:hideMark/>
          </w:tcPr>
          <w:p w14:paraId="0E6F6BFE"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638E96F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Product</w:t>
            </w:r>
          </w:p>
        </w:tc>
        <w:tc>
          <w:tcPr>
            <w:tcW w:w="1226" w:type="dxa"/>
            <w:shd w:val="clear" w:color="auto" w:fill="FFFFFF"/>
            <w:vAlign w:val="center"/>
            <w:hideMark/>
          </w:tcPr>
          <w:p w14:paraId="704325B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-3.32500</w:t>
            </w:r>
            <w:r w:rsidRPr="00D923A9">
              <w:rPr>
                <w:color w:val="000000" w:themeColor="text1"/>
                <w:sz w:val="16"/>
                <w:szCs w:val="16"/>
                <w:vertAlign w:val="superscript"/>
              </w:rPr>
              <w:t>*</w:t>
            </w:r>
          </w:p>
        </w:tc>
        <w:tc>
          <w:tcPr>
            <w:tcW w:w="1038" w:type="dxa"/>
            <w:shd w:val="clear" w:color="auto" w:fill="FFFFFF"/>
            <w:vAlign w:val="center"/>
            <w:hideMark/>
          </w:tcPr>
          <w:p w14:paraId="5B0B24C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558F3984"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.003</w:t>
            </w:r>
          </w:p>
        </w:tc>
        <w:tc>
          <w:tcPr>
            <w:tcW w:w="1339" w:type="dxa"/>
            <w:shd w:val="clear" w:color="auto" w:fill="FFFFFF"/>
            <w:vAlign w:val="center"/>
            <w:hideMark/>
          </w:tcPr>
          <w:p w14:paraId="729E588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-5.9585</w:t>
            </w:r>
          </w:p>
        </w:tc>
        <w:tc>
          <w:tcPr>
            <w:tcW w:w="1388" w:type="dxa"/>
            <w:shd w:val="clear" w:color="auto" w:fill="FFFFFF"/>
            <w:vAlign w:val="center"/>
            <w:hideMark/>
          </w:tcPr>
          <w:p w14:paraId="3FB69872"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-.6915</w:t>
            </w:r>
          </w:p>
        </w:tc>
      </w:tr>
      <w:tr w:rsidR="00D923A9" w:rsidRPr="00D923A9" w14:paraId="6F797A09" w14:textId="77777777" w:rsidTr="00D923A9">
        <w:trPr>
          <w:cantSplit/>
          <w:jc w:val="center"/>
        </w:trPr>
        <w:tc>
          <w:tcPr>
            <w:tcW w:w="1420" w:type="dxa"/>
            <w:vMerge/>
            <w:vAlign w:val="center"/>
            <w:hideMark/>
          </w:tcPr>
          <w:p w14:paraId="20429A1A"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361E9ACF"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Location</w:t>
            </w:r>
          </w:p>
        </w:tc>
        <w:tc>
          <w:tcPr>
            <w:tcW w:w="1226" w:type="dxa"/>
            <w:shd w:val="clear" w:color="auto" w:fill="FFFFFF"/>
            <w:vAlign w:val="center"/>
            <w:hideMark/>
          </w:tcPr>
          <w:p w14:paraId="4F25B5F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-3.30000</w:t>
            </w:r>
            <w:r w:rsidRPr="00D923A9">
              <w:rPr>
                <w:color w:val="000000" w:themeColor="text1"/>
                <w:sz w:val="16"/>
                <w:szCs w:val="16"/>
                <w:vertAlign w:val="superscript"/>
              </w:rPr>
              <w:t>*</w:t>
            </w:r>
          </w:p>
        </w:tc>
        <w:tc>
          <w:tcPr>
            <w:tcW w:w="1038" w:type="dxa"/>
            <w:shd w:val="clear" w:color="auto" w:fill="FFFFFF"/>
            <w:vAlign w:val="center"/>
            <w:hideMark/>
          </w:tcPr>
          <w:p w14:paraId="74C38CFD"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0D04BD3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.003</w:t>
            </w:r>
          </w:p>
        </w:tc>
        <w:tc>
          <w:tcPr>
            <w:tcW w:w="1339" w:type="dxa"/>
            <w:shd w:val="clear" w:color="auto" w:fill="FFFFFF"/>
            <w:vAlign w:val="center"/>
            <w:hideMark/>
          </w:tcPr>
          <w:p w14:paraId="09DB079A"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-5.9335</w:t>
            </w:r>
          </w:p>
        </w:tc>
        <w:tc>
          <w:tcPr>
            <w:tcW w:w="1388" w:type="dxa"/>
            <w:shd w:val="clear" w:color="auto" w:fill="FFFFFF"/>
            <w:vAlign w:val="center"/>
            <w:hideMark/>
          </w:tcPr>
          <w:p w14:paraId="32BF49A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-.6665</w:t>
            </w:r>
          </w:p>
        </w:tc>
      </w:tr>
      <w:tr w:rsidR="00D923A9" w:rsidRPr="00D923A9" w14:paraId="12A93FCA" w14:textId="77777777" w:rsidTr="00D923A9">
        <w:trPr>
          <w:cantSplit/>
          <w:jc w:val="center"/>
        </w:trPr>
        <w:tc>
          <w:tcPr>
            <w:tcW w:w="1420" w:type="dxa"/>
            <w:vMerge/>
            <w:vAlign w:val="center"/>
            <w:hideMark/>
          </w:tcPr>
          <w:p w14:paraId="224B9A77" w14:textId="77777777" w:rsidR="000C5B55" w:rsidRPr="00D923A9" w:rsidRDefault="000C5B55" w:rsidP="00D923A9">
            <w:pPr>
              <w:spacing w:before="0" w:after="0" w:line="240" w:lineRule="auto"/>
              <w:rPr>
                <w:color w:val="000000" w:themeColor="text1"/>
                <w:sz w:val="16"/>
                <w:szCs w:val="16"/>
              </w:rPr>
            </w:pPr>
          </w:p>
        </w:tc>
        <w:tc>
          <w:tcPr>
            <w:tcW w:w="2525" w:type="dxa"/>
            <w:shd w:val="clear" w:color="auto" w:fill="FFFFFF"/>
            <w:vAlign w:val="center"/>
            <w:hideMark/>
          </w:tcPr>
          <w:p w14:paraId="49718FFC"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Profit</w:t>
            </w:r>
          </w:p>
        </w:tc>
        <w:tc>
          <w:tcPr>
            <w:tcW w:w="1226" w:type="dxa"/>
            <w:shd w:val="clear" w:color="auto" w:fill="FFFFFF"/>
            <w:vAlign w:val="center"/>
            <w:hideMark/>
          </w:tcPr>
          <w:p w14:paraId="24AD9EB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-2.95000</w:t>
            </w:r>
            <w:r w:rsidRPr="00D923A9">
              <w:rPr>
                <w:color w:val="000000" w:themeColor="text1"/>
                <w:sz w:val="16"/>
                <w:szCs w:val="16"/>
                <w:vertAlign w:val="superscript"/>
              </w:rPr>
              <w:t>*</w:t>
            </w:r>
          </w:p>
        </w:tc>
        <w:tc>
          <w:tcPr>
            <w:tcW w:w="1038" w:type="dxa"/>
            <w:shd w:val="clear" w:color="auto" w:fill="FFFFFF"/>
            <w:vAlign w:val="center"/>
            <w:hideMark/>
          </w:tcPr>
          <w:p w14:paraId="33ADFEF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shd w:val="clear" w:color="auto" w:fill="FFFFFF"/>
            <w:vAlign w:val="center"/>
            <w:hideMark/>
          </w:tcPr>
          <w:p w14:paraId="351A02B9"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.015</w:t>
            </w:r>
          </w:p>
        </w:tc>
        <w:tc>
          <w:tcPr>
            <w:tcW w:w="1339" w:type="dxa"/>
            <w:shd w:val="clear" w:color="auto" w:fill="FFFFFF"/>
            <w:vAlign w:val="center"/>
            <w:hideMark/>
          </w:tcPr>
          <w:p w14:paraId="41E73C4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-5.5835</w:t>
            </w:r>
          </w:p>
        </w:tc>
        <w:tc>
          <w:tcPr>
            <w:tcW w:w="1388" w:type="dxa"/>
            <w:shd w:val="clear" w:color="auto" w:fill="FFFFFF"/>
            <w:vAlign w:val="center"/>
            <w:hideMark/>
          </w:tcPr>
          <w:p w14:paraId="5EFFB40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-.3165</w:t>
            </w:r>
          </w:p>
        </w:tc>
      </w:tr>
      <w:tr w:rsidR="00D923A9" w:rsidRPr="00D923A9" w14:paraId="72598508" w14:textId="77777777" w:rsidTr="00D923A9">
        <w:trPr>
          <w:cantSplit/>
          <w:jc w:val="center"/>
        </w:trPr>
        <w:tc>
          <w:tcPr>
            <w:tcW w:w="1420" w:type="dxa"/>
            <w:vMerge/>
            <w:tcBorders>
              <w:bottom w:val="single" w:sz="4" w:space="0" w:color="auto"/>
            </w:tcBorders>
            <w:vAlign w:val="center"/>
            <w:hideMark/>
          </w:tcPr>
          <w:p w14:paraId="0200EF6B" w14:textId="77777777" w:rsidR="000C5B55" w:rsidRPr="00D923A9" w:rsidRDefault="000C5B55" w:rsidP="00D923A9">
            <w:pPr>
              <w:spacing w:before="0" w:after="0" w:line="240" w:lineRule="auto"/>
              <w:rPr>
                <w:color w:val="000000" w:themeColor="text1"/>
                <w:sz w:val="16"/>
                <w:szCs w:val="16"/>
              </w:rPr>
            </w:pPr>
          </w:p>
        </w:tc>
        <w:tc>
          <w:tcPr>
            <w:tcW w:w="2525" w:type="dxa"/>
            <w:tcBorders>
              <w:bottom w:val="single" w:sz="4" w:space="0" w:color="auto"/>
            </w:tcBorders>
            <w:shd w:val="clear" w:color="auto" w:fill="FFFFFF"/>
            <w:vAlign w:val="center"/>
            <w:hideMark/>
          </w:tcPr>
          <w:p w14:paraId="78ED96D6"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Coercion</w:t>
            </w:r>
          </w:p>
        </w:tc>
        <w:tc>
          <w:tcPr>
            <w:tcW w:w="1226" w:type="dxa"/>
            <w:tcBorders>
              <w:bottom w:val="single" w:sz="4" w:space="0" w:color="auto"/>
            </w:tcBorders>
            <w:shd w:val="clear" w:color="auto" w:fill="FFFFFF"/>
            <w:vAlign w:val="center"/>
            <w:hideMark/>
          </w:tcPr>
          <w:p w14:paraId="4DC08E13"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-4.30000</w:t>
            </w:r>
            <w:r w:rsidRPr="00D923A9">
              <w:rPr>
                <w:color w:val="000000" w:themeColor="text1"/>
                <w:sz w:val="16"/>
                <w:szCs w:val="16"/>
                <w:vertAlign w:val="superscript"/>
              </w:rPr>
              <w:t>*</w:t>
            </w:r>
          </w:p>
        </w:tc>
        <w:tc>
          <w:tcPr>
            <w:tcW w:w="1038" w:type="dxa"/>
            <w:tcBorders>
              <w:bottom w:val="single" w:sz="4" w:space="0" w:color="auto"/>
            </w:tcBorders>
            <w:shd w:val="clear" w:color="auto" w:fill="FFFFFF"/>
            <w:vAlign w:val="center"/>
            <w:hideMark/>
          </w:tcPr>
          <w:p w14:paraId="6F1742E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.84373</w:t>
            </w:r>
          </w:p>
        </w:tc>
        <w:tc>
          <w:tcPr>
            <w:tcW w:w="692" w:type="dxa"/>
            <w:tcBorders>
              <w:bottom w:val="single" w:sz="4" w:space="0" w:color="auto"/>
            </w:tcBorders>
            <w:shd w:val="clear" w:color="auto" w:fill="FFFFFF"/>
            <w:vAlign w:val="center"/>
            <w:hideMark/>
          </w:tcPr>
          <w:p w14:paraId="6A6E3CC8"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.000</w:t>
            </w:r>
          </w:p>
        </w:tc>
        <w:tc>
          <w:tcPr>
            <w:tcW w:w="1339" w:type="dxa"/>
            <w:tcBorders>
              <w:bottom w:val="single" w:sz="4" w:space="0" w:color="auto"/>
            </w:tcBorders>
            <w:shd w:val="clear" w:color="auto" w:fill="FFFFFF"/>
            <w:vAlign w:val="center"/>
            <w:hideMark/>
          </w:tcPr>
          <w:p w14:paraId="221EAC95"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-6.9335</w:t>
            </w:r>
          </w:p>
        </w:tc>
        <w:tc>
          <w:tcPr>
            <w:tcW w:w="1388" w:type="dxa"/>
            <w:tcBorders>
              <w:bottom w:val="single" w:sz="4" w:space="0" w:color="auto"/>
            </w:tcBorders>
            <w:shd w:val="clear" w:color="auto" w:fill="FFFFFF"/>
            <w:vAlign w:val="center"/>
            <w:hideMark/>
          </w:tcPr>
          <w:p w14:paraId="0DCFA780" w14:textId="77777777" w:rsidR="000C5B55" w:rsidRPr="00D923A9" w:rsidRDefault="000C5B55" w:rsidP="00D923A9">
            <w:pPr>
              <w:adjustRightInd w:val="0"/>
              <w:spacing w:before="0" w:after="0" w:line="240" w:lineRule="auto"/>
              <w:ind w:left="60" w:right="60"/>
              <w:jc w:val="center"/>
              <w:rPr>
                <w:color w:val="000000" w:themeColor="text1"/>
                <w:sz w:val="16"/>
                <w:szCs w:val="16"/>
              </w:rPr>
            </w:pPr>
            <w:r w:rsidRPr="00D923A9">
              <w:rPr>
                <w:color w:val="000000" w:themeColor="text1"/>
                <w:sz w:val="16"/>
                <w:szCs w:val="16"/>
              </w:rPr>
              <w:t>-1.6665</w:t>
            </w:r>
          </w:p>
        </w:tc>
      </w:tr>
      <w:tr w:rsidR="000C5B55" w:rsidRPr="00D923A9" w14:paraId="2296F6C1" w14:textId="77777777" w:rsidTr="00D923A9">
        <w:trPr>
          <w:cantSplit/>
          <w:jc w:val="center"/>
        </w:trPr>
        <w:tc>
          <w:tcPr>
            <w:tcW w:w="9628" w:type="dxa"/>
            <w:gridSpan w:val="7"/>
            <w:tcBorders>
              <w:left w:val="nil"/>
              <w:bottom w:val="nil"/>
              <w:right w:val="nil"/>
            </w:tcBorders>
            <w:shd w:val="clear" w:color="auto" w:fill="FFFFFF"/>
            <w:hideMark/>
          </w:tcPr>
          <w:p w14:paraId="6F517233" w14:textId="77777777" w:rsidR="000C5B55" w:rsidRPr="00D923A9" w:rsidRDefault="000C5B55" w:rsidP="00D923A9">
            <w:pPr>
              <w:adjustRightInd w:val="0"/>
              <w:spacing w:before="0" w:after="0" w:line="240" w:lineRule="auto"/>
              <w:ind w:left="60" w:right="60"/>
              <w:rPr>
                <w:color w:val="000000" w:themeColor="text1"/>
                <w:sz w:val="16"/>
                <w:szCs w:val="16"/>
              </w:rPr>
            </w:pPr>
            <w:r w:rsidRPr="00D923A9">
              <w:rPr>
                <w:color w:val="000000" w:themeColor="text1"/>
                <w:sz w:val="16"/>
                <w:szCs w:val="16"/>
              </w:rPr>
              <w:t>*. The mean difference is significant at the 0.05 level.</w:t>
            </w:r>
          </w:p>
        </w:tc>
      </w:tr>
    </w:tbl>
    <w:p w14:paraId="3FEE2766" w14:textId="77777777" w:rsidR="00D923A9" w:rsidRDefault="00D923A9" w:rsidP="000C5B55">
      <w:pPr>
        <w:kinsoku w:val="0"/>
        <w:overflowPunct w:val="0"/>
        <w:autoSpaceDE w:val="0"/>
        <w:autoSpaceDN w:val="0"/>
        <w:spacing w:after="0" w:line="240" w:lineRule="auto"/>
        <w:ind w:firstLine="709"/>
        <w:rPr>
          <w:color w:val="000000" w:themeColor="text1"/>
        </w:rPr>
        <w:sectPr w:rsidR="00D923A9" w:rsidSect="00D923A9">
          <w:type w:val="continuous"/>
          <w:pgSz w:w="11906" w:h="16838"/>
          <w:pgMar w:top="1418" w:right="1021" w:bottom="1418" w:left="1021" w:header="720" w:footer="720" w:gutter="0"/>
          <w:cols w:space="567"/>
          <w:titlePg/>
        </w:sectPr>
      </w:pPr>
    </w:p>
    <w:p w14:paraId="3A481D53" w14:textId="77777777" w:rsidR="00D923A9" w:rsidRDefault="00D923A9" w:rsidP="00D923A9">
      <w:pPr>
        <w:kinsoku w:val="0"/>
        <w:overflowPunct w:val="0"/>
        <w:autoSpaceDE w:val="0"/>
        <w:autoSpaceDN w:val="0"/>
        <w:spacing w:before="0" w:after="0" w:line="240" w:lineRule="auto"/>
        <w:ind w:firstLine="709"/>
        <w:rPr>
          <w:color w:val="000000" w:themeColor="text1"/>
          <w:sz w:val="22"/>
          <w:szCs w:val="22"/>
        </w:rPr>
      </w:pPr>
    </w:p>
    <w:p w14:paraId="3B38E695" w14:textId="10F2ACD6" w:rsidR="00430439" w:rsidRDefault="00430439" w:rsidP="00430439">
      <w:pPr>
        <w:kinsoku w:val="0"/>
        <w:overflowPunct w:val="0"/>
        <w:autoSpaceDE w:val="0"/>
        <w:autoSpaceDN w:val="0"/>
        <w:spacing w:before="0" w:after="0" w:line="240" w:lineRule="auto"/>
        <w:rPr>
          <w:color w:val="000000" w:themeColor="text1"/>
          <w:sz w:val="22"/>
          <w:szCs w:val="22"/>
        </w:rPr>
      </w:pPr>
      <w:r w:rsidRPr="000C5B55">
        <w:rPr>
          <w:color w:val="000000" w:themeColor="text1"/>
          <w:sz w:val="22"/>
          <w:szCs w:val="22"/>
        </w:rPr>
        <w:t>to price, product, service quality and profit. They get detailed information about these four things from friends, colleagues, and family. This means, indirectly, these other factors become the determinants for them to choose Islamic banks over conventional banks.</w:t>
      </w:r>
    </w:p>
    <w:p w14:paraId="095A4521" w14:textId="57E9B105" w:rsidR="00D923A9" w:rsidRDefault="000C5B55" w:rsidP="00D923A9">
      <w:pPr>
        <w:kinsoku w:val="0"/>
        <w:overflowPunct w:val="0"/>
        <w:autoSpaceDE w:val="0"/>
        <w:autoSpaceDN w:val="0"/>
        <w:spacing w:before="0" w:after="0" w:line="240" w:lineRule="auto"/>
        <w:ind w:firstLine="284"/>
        <w:rPr>
          <w:color w:val="000000" w:themeColor="text1"/>
          <w:sz w:val="22"/>
          <w:szCs w:val="22"/>
          <w:lang w:val="id-ID"/>
        </w:rPr>
      </w:pPr>
      <w:r w:rsidRPr="00D923A9">
        <w:rPr>
          <w:color w:val="000000" w:themeColor="text1"/>
          <w:sz w:val="22"/>
          <w:szCs w:val="22"/>
        </w:rPr>
        <w:t xml:space="preserve">Of the four factors, price and profit are the most influencing factors. This is because the price factor will affect consumer attitudes because prices include various costs, both those obtained by the customer and those that must be incurred by the customer </w:t>
      </w:r>
      <w:r w:rsidR="004223CE">
        <w:rPr>
          <w:color w:val="000000" w:themeColor="text1"/>
          <w:sz w:val="22"/>
          <w:szCs w:val="22"/>
        </w:rPr>
        <w:t>[37]</w:t>
      </w:r>
      <w:r w:rsidRPr="00D923A9">
        <w:rPr>
          <w:color w:val="000000" w:themeColor="text1"/>
          <w:sz w:val="22"/>
          <w:szCs w:val="22"/>
        </w:rPr>
        <w:t>. It is known that the administrative fees for Islamic bank services are indeed cheaper than conventional banks, there are even certain products that do not apply service administration fees. Apart from the absence of a monthly discount so that money is not reduced, another consideration is related to the minimum balance set by Islamic banks. Of course this will be a consideration for consumers because it relates to expenses and income.</w:t>
      </w:r>
    </w:p>
    <w:p w14:paraId="2C833DB2" w14:textId="7619E19D" w:rsidR="000C5B55" w:rsidRDefault="000C5B55" w:rsidP="00D923A9">
      <w:pPr>
        <w:kinsoku w:val="0"/>
        <w:overflowPunct w:val="0"/>
        <w:autoSpaceDE w:val="0"/>
        <w:autoSpaceDN w:val="0"/>
        <w:spacing w:before="0" w:after="0" w:line="240" w:lineRule="auto"/>
        <w:ind w:firstLine="284"/>
        <w:rPr>
          <w:color w:val="000000" w:themeColor="text1"/>
          <w:sz w:val="22"/>
          <w:szCs w:val="22"/>
        </w:rPr>
      </w:pPr>
      <w:r w:rsidRPr="00D923A9">
        <w:rPr>
          <w:color w:val="000000" w:themeColor="text1"/>
          <w:sz w:val="22"/>
          <w:szCs w:val="22"/>
        </w:rPr>
        <w:t>From the explanations expressed by the participants, it can be understood that another consideration for non-Muslim customers to become customers of Islamic banks is their interest in implementing profit-sharing products in Islamic banks. From profit sharing products, non-Muslim customers feel more profitable than conventional systems and hope that the future will be even better.</w:t>
      </w:r>
      <w:r w:rsidR="00A01C0A">
        <w:rPr>
          <w:color w:val="000000" w:themeColor="text1"/>
          <w:sz w:val="22"/>
          <w:szCs w:val="22"/>
        </w:rPr>
        <w:t xml:space="preserve"> </w:t>
      </w:r>
      <w:r w:rsidR="00A01C0A" w:rsidRPr="00A01C0A">
        <w:rPr>
          <w:color w:val="000000" w:themeColor="text1"/>
          <w:sz w:val="22"/>
          <w:szCs w:val="22"/>
          <w:highlight w:val="yellow"/>
        </w:rPr>
        <w:t xml:space="preserve">This is because the profit sharing system is highly dependent on the performance and development of the bank. If the bank's performance continues to increase, the amount of profit sharing will increase. In contrast to the interest system at conventional banks, which </w:t>
      </w:r>
      <w:commentRangeStart w:id="18"/>
      <w:commentRangeStart w:id="19"/>
      <w:r w:rsidR="00A01C0A" w:rsidRPr="00A01C0A">
        <w:rPr>
          <w:color w:val="000000" w:themeColor="text1"/>
          <w:sz w:val="22"/>
          <w:szCs w:val="22"/>
          <w:highlight w:val="yellow"/>
        </w:rPr>
        <w:t>remain</w:t>
      </w:r>
      <w:commentRangeEnd w:id="18"/>
      <w:r w:rsidR="001443A4">
        <w:rPr>
          <w:rStyle w:val="CommentReference"/>
        </w:rPr>
        <w:commentReference w:id="18"/>
      </w:r>
      <w:commentRangeEnd w:id="19"/>
      <w:r w:rsidR="001F479C">
        <w:rPr>
          <w:rStyle w:val="CommentReference"/>
        </w:rPr>
        <w:commentReference w:id="19"/>
      </w:r>
      <w:r w:rsidR="00A01C0A" w:rsidRPr="00A01C0A">
        <w:rPr>
          <w:color w:val="000000" w:themeColor="text1"/>
          <w:sz w:val="22"/>
          <w:szCs w:val="22"/>
          <w:highlight w:val="yellow"/>
        </w:rPr>
        <w:t xml:space="preserve"> flat even though the economy is growing well.</w:t>
      </w:r>
      <w:r w:rsidRPr="00D923A9">
        <w:rPr>
          <w:color w:val="000000" w:themeColor="text1"/>
          <w:sz w:val="22"/>
          <w:szCs w:val="22"/>
        </w:rPr>
        <w:t xml:space="preserve"> This is also in accordance with the statement put forward by </w:t>
      </w:r>
      <w:proofErr w:type="spellStart"/>
      <w:r w:rsidRPr="00D923A9">
        <w:rPr>
          <w:color w:val="000000" w:themeColor="text1"/>
          <w:sz w:val="22"/>
          <w:szCs w:val="22"/>
        </w:rPr>
        <w:t>Keaveney</w:t>
      </w:r>
      <w:proofErr w:type="spellEnd"/>
      <w:r w:rsidRPr="00D923A9">
        <w:rPr>
          <w:color w:val="000000" w:themeColor="text1"/>
          <w:sz w:val="22"/>
          <w:szCs w:val="22"/>
        </w:rPr>
        <w:t xml:space="preserve"> and Parthasarathy </w:t>
      </w:r>
      <w:r w:rsidR="00C70AD2">
        <w:rPr>
          <w:color w:val="000000" w:themeColor="text1"/>
          <w:sz w:val="22"/>
          <w:szCs w:val="22"/>
        </w:rPr>
        <w:t>[12]</w:t>
      </w:r>
      <w:r w:rsidRPr="00D923A9">
        <w:rPr>
          <w:color w:val="000000" w:themeColor="text1"/>
          <w:sz w:val="22"/>
          <w:szCs w:val="22"/>
        </w:rPr>
        <w:t xml:space="preserve"> that apart from the reasons stated above, the things that attract non-Muslim customers and switch to Islamic banks are the benefits obtained by non-Muslim customers.</w:t>
      </w:r>
    </w:p>
    <w:p w14:paraId="59F1418A" w14:textId="249BBA49" w:rsidR="0076450B" w:rsidRPr="00686FF3" w:rsidRDefault="0076450B" w:rsidP="00D923A9">
      <w:pPr>
        <w:kinsoku w:val="0"/>
        <w:overflowPunct w:val="0"/>
        <w:autoSpaceDE w:val="0"/>
        <w:autoSpaceDN w:val="0"/>
        <w:spacing w:before="0" w:after="0" w:line="240" w:lineRule="auto"/>
        <w:ind w:firstLine="284"/>
        <w:rPr>
          <w:color w:val="000000" w:themeColor="text1"/>
          <w:sz w:val="22"/>
          <w:szCs w:val="22"/>
          <w:lang w:val="en-US"/>
        </w:rPr>
      </w:pPr>
      <w:commentRangeStart w:id="20"/>
      <w:commentRangeStart w:id="21"/>
      <w:r w:rsidRPr="0076450B">
        <w:rPr>
          <w:color w:val="000000" w:themeColor="text1"/>
          <w:sz w:val="22"/>
          <w:szCs w:val="22"/>
          <w:highlight w:val="yellow"/>
          <w:lang w:val="id-ID"/>
        </w:rPr>
        <w:t>Based</w:t>
      </w:r>
      <w:commentRangeEnd w:id="20"/>
      <w:r w:rsidR="001443A4">
        <w:rPr>
          <w:rStyle w:val="CommentReference"/>
        </w:rPr>
        <w:commentReference w:id="20"/>
      </w:r>
      <w:commentRangeEnd w:id="21"/>
      <w:r w:rsidR="001443A4">
        <w:rPr>
          <w:rStyle w:val="CommentReference"/>
        </w:rPr>
        <w:commentReference w:id="21"/>
      </w:r>
      <w:r w:rsidRPr="0076450B">
        <w:rPr>
          <w:color w:val="000000" w:themeColor="text1"/>
          <w:sz w:val="22"/>
          <w:szCs w:val="22"/>
          <w:highlight w:val="yellow"/>
          <w:lang w:val="id-ID"/>
        </w:rPr>
        <w:t xml:space="preserve"> on the results of quantitative and qualitative data mining, in fact non-Muslim customers can enjoy the benefits of the Islamic banking system. This does not only apply in Indonesia, but in various other countries that have sharia banking services. This is because basically the system that is run in Islamic banks is the same, namely based on Islamic law.</w:t>
      </w:r>
      <w:r w:rsidR="00686FF3">
        <w:rPr>
          <w:color w:val="000000" w:themeColor="text1"/>
          <w:sz w:val="22"/>
          <w:szCs w:val="22"/>
          <w:lang w:val="en-US"/>
        </w:rPr>
        <w:t xml:space="preserve"> </w:t>
      </w:r>
      <w:r w:rsidR="00686FF3" w:rsidRPr="00686FF3">
        <w:rPr>
          <w:color w:val="000000" w:themeColor="text1"/>
          <w:sz w:val="22"/>
          <w:szCs w:val="22"/>
          <w:lang w:val="en-US"/>
        </w:rPr>
        <w:t xml:space="preserve">The superior services </w:t>
      </w:r>
      <w:r w:rsidR="00686FF3" w:rsidRPr="00686FF3">
        <w:rPr>
          <w:color w:val="000000" w:themeColor="text1"/>
          <w:sz w:val="22"/>
          <w:szCs w:val="22"/>
          <w:lang w:val="en-US"/>
        </w:rPr>
        <w:t xml:space="preserve">provided by Islamic banks allow it to support its rapid development. Marketing strategies need to be continuously improved, such as the ease of borrowing funds, but still going through the predictive analysis approval </w:t>
      </w:r>
      <w:r w:rsidR="00686FF3" w:rsidRPr="001443A4">
        <w:rPr>
          <w:color w:val="000000" w:themeColor="text1"/>
          <w:sz w:val="22"/>
          <w:szCs w:val="22"/>
          <w:highlight w:val="yellow"/>
          <w:lang w:val="en-US"/>
        </w:rPr>
        <w:t>stage [38]. However, bank managers must be ready to manage human resources so that bank operations will be effective and efficient [</w:t>
      </w:r>
      <w:commentRangeStart w:id="22"/>
      <w:commentRangeStart w:id="23"/>
      <w:r w:rsidR="00686FF3" w:rsidRPr="001443A4">
        <w:rPr>
          <w:color w:val="000000" w:themeColor="text1"/>
          <w:sz w:val="22"/>
          <w:szCs w:val="22"/>
          <w:highlight w:val="yellow"/>
          <w:lang w:val="en-US"/>
        </w:rPr>
        <w:t>39</w:t>
      </w:r>
      <w:commentRangeEnd w:id="22"/>
      <w:r w:rsidR="001443A4">
        <w:rPr>
          <w:rStyle w:val="CommentReference"/>
        </w:rPr>
        <w:commentReference w:id="22"/>
      </w:r>
      <w:commentRangeEnd w:id="23"/>
      <w:r w:rsidR="001443A4">
        <w:rPr>
          <w:rStyle w:val="CommentReference"/>
        </w:rPr>
        <w:commentReference w:id="23"/>
      </w:r>
      <w:r w:rsidR="00686FF3" w:rsidRPr="001443A4">
        <w:rPr>
          <w:color w:val="000000" w:themeColor="text1"/>
          <w:sz w:val="22"/>
          <w:szCs w:val="22"/>
          <w:highlight w:val="yellow"/>
          <w:lang w:val="en-US"/>
        </w:rPr>
        <w:t>].</w:t>
      </w:r>
    </w:p>
    <w:p w14:paraId="5C060C42" w14:textId="77777777" w:rsidR="000C5B55" w:rsidRDefault="000C5B55" w:rsidP="005823F2">
      <w:pPr>
        <w:tabs>
          <w:tab w:val="left" w:pos="284"/>
        </w:tabs>
        <w:spacing w:before="0" w:after="0" w:line="240" w:lineRule="auto"/>
        <w:rPr>
          <w:b/>
          <w:bCs/>
          <w:sz w:val="28"/>
          <w:szCs w:val="28"/>
          <w:lang w:val="en-US"/>
        </w:rPr>
      </w:pPr>
    </w:p>
    <w:p w14:paraId="6BF72C79" w14:textId="6D421BE6" w:rsidR="007E5C9C" w:rsidRDefault="00D923A9" w:rsidP="005823F2">
      <w:pPr>
        <w:tabs>
          <w:tab w:val="left" w:pos="284"/>
        </w:tabs>
        <w:spacing w:before="0" w:after="0" w:line="240" w:lineRule="auto"/>
        <w:rPr>
          <w:b/>
          <w:bCs/>
          <w:sz w:val="28"/>
          <w:szCs w:val="28"/>
          <w:lang w:val="en-US"/>
        </w:rPr>
      </w:pPr>
      <w:r>
        <w:rPr>
          <w:b/>
          <w:bCs/>
          <w:sz w:val="28"/>
          <w:szCs w:val="28"/>
          <w:lang w:val="en-US"/>
        </w:rPr>
        <w:t>5</w:t>
      </w:r>
      <w:r w:rsidR="0025437E">
        <w:rPr>
          <w:b/>
          <w:bCs/>
          <w:sz w:val="28"/>
          <w:szCs w:val="28"/>
          <w:lang w:val="en-US"/>
        </w:rPr>
        <w:tab/>
        <w:t>Conclusion</w:t>
      </w:r>
    </w:p>
    <w:p w14:paraId="5B02089B" w14:textId="374DF153" w:rsidR="00D923A9" w:rsidRDefault="00D923A9" w:rsidP="00D923A9">
      <w:pPr>
        <w:spacing w:before="0" w:after="0" w:line="240" w:lineRule="auto"/>
        <w:ind w:firstLine="284"/>
        <w:rPr>
          <w:color w:val="000000" w:themeColor="text1"/>
          <w:sz w:val="22"/>
          <w:szCs w:val="22"/>
          <w:lang w:val="en"/>
        </w:rPr>
      </w:pPr>
      <w:r w:rsidRPr="00D923A9">
        <w:rPr>
          <w:color w:val="000000" w:themeColor="text1"/>
          <w:sz w:val="22"/>
          <w:szCs w:val="22"/>
          <w:lang w:val="en"/>
        </w:rPr>
        <w:t>Switching behavior to Islamic banks by non-Muslim customers is not based on religious differences. The phenomenon of moving non-Muslim customers to Islamic banks is very much influenced by the information submitted by other customers, such as friends, relatives, or family. In addition, the price and profit factors that are considered more favorable are also considered by non-Muslim customers. From these results, Islamic banking companies can have an overview of the characteristics of the switching behavior of non-Muslim customers. The influence of the invitation information factor from people who have become customers of Islamic banks to other people, especially non-Muslims, is indirectly related to service quality, price, and benefits based on their experience. Of course this needs to be a consideration for the company that in essence maximum service will have a tremendous impact on the company's development, in addition to the influence of the price and profit factors.</w:t>
      </w:r>
    </w:p>
    <w:p w14:paraId="442FC65B" w14:textId="63C7CAAF" w:rsidR="00AA658A" w:rsidRPr="00D923A9" w:rsidRDefault="00AA658A" w:rsidP="00D923A9">
      <w:pPr>
        <w:spacing w:before="0" w:after="0" w:line="240" w:lineRule="auto"/>
        <w:ind w:firstLine="284"/>
        <w:rPr>
          <w:sz w:val="22"/>
          <w:szCs w:val="22"/>
          <w:lang w:val="en-US"/>
        </w:rPr>
      </w:pPr>
      <w:r w:rsidRPr="00AA658A">
        <w:rPr>
          <w:sz w:val="22"/>
          <w:szCs w:val="22"/>
          <w:highlight w:val="yellow"/>
          <w:lang w:val="en-US"/>
        </w:rPr>
        <w:t xml:space="preserve">In addition, the results of this study can also provide information that Islamic banks whose work system is based on Islamic law do not limit themselves to non-Muslim customers. This means that non-Muslim customers can also take advantage of the advantages of the Islamic banking system to maximize profits, such as the absence of monthly administration fees or a profit-sharing system that allows a higher amount of </w:t>
      </w:r>
      <w:commentRangeStart w:id="24"/>
      <w:commentRangeStart w:id="25"/>
      <w:r w:rsidRPr="00AA658A">
        <w:rPr>
          <w:sz w:val="22"/>
          <w:szCs w:val="22"/>
          <w:highlight w:val="yellow"/>
          <w:lang w:val="en-US"/>
        </w:rPr>
        <w:t>profit</w:t>
      </w:r>
      <w:commentRangeEnd w:id="24"/>
      <w:r w:rsidR="001443A4">
        <w:rPr>
          <w:rStyle w:val="CommentReference"/>
        </w:rPr>
        <w:commentReference w:id="24"/>
      </w:r>
      <w:commentRangeEnd w:id="25"/>
      <w:r w:rsidR="001443A4">
        <w:rPr>
          <w:rStyle w:val="CommentReference"/>
        </w:rPr>
        <w:commentReference w:id="25"/>
      </w:r>
      <w:r w:rsidRPr="00AA658A">
        <w:rPr>
          <w:sz w:val="22"/>
          <w:szCs w:val="22"/>
          <w:highlight w:val="yellow"/>
          <w:lang w:val="en-US"/>
        </w:rPr>
        <w:t>.</w:t>
      </w:r>
    </w:p>
    <w:p w14:paraId="24A08ED2" w14:textId="77777777" w:rsidR="007E5C9C" w:rsidRDefault="007E5C9C" w:rsidP="005823F2">
      <w:pPr>
        <w:spacing w:before="0" w:after="0" w:line="240" w:lineRule="auto"/>
        <w:rPr>
          <w:i/>
          <w:iCs/>
          <w:sz w:val="22"/>
          <w:szCs w:val="22"/>
          <w:lang w:val="en-US"/>
        </w:rPr>
      </w:pPr>
    </w:p>
    <w:p w14:paraId="3E93E25C" w14:textId="77777777" w:rsidR="007E5C9C" w:rsidRDefault="007E5C9C" w:rsidP="005823F2">
      <w:pPr>
        <w:spacing w:before="0" w:after="0" w:line="240" w:lineRule="auto"/>
        <w:rPr>
          <w:i/>
          <w:iCs/>
          <w:sz w:val="22"/>
          <w:szCs w:val="22"/>
          <w:lang w:val="en-US"/>
        </w:rPr>
      </w:pPr>
    </w:p>
    <w:p w14:paraId="4A5FB59E" w14:textId="77777777" w:rsidR="007E5C9C" w:rsidRDefault="0025437E" w:rsidP="005823F2">
      <w:pPr>
        <w:spacing w:before="0" w:after="0" w:line="240" w:lineRule="auto"/>
        <w:rPr>
          <w:i/>
          <w:iCs/>
          <w:sz w:val="22"/>
          <w:szCs w:val="22"/>
          <w:lang w:val="en-US"/>
        </w:rPr>
      </w:pPr>
      <w:r>
        <w:rPr>
          <w:i/>
          <w:iCs/>
          <w:sz w:val="22"/>
          <w:szCs w:val="22"/>
          <w:lang w:val="en-US"/>
        </w:rPr>
        <w:t>References:</w:t>
      </w:r>
    </w:p>
    <w:p w14:paraId="79557C6C" w14:textId="3C19B4D3" w:rsidR="00C959A6" w:rsidRDefault="00C959A6"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Pr>
          <w:rFonts w:ascii="Times New Roman" w:hAnsi="Times New Roman" w:cs="Times New Roman"/>
          <w:sz w:val="22"/>
          <w:szCs w:val="22"/>
          <w:lang w:val="en-US"/>
        </w:rPr>
        <w:t>Bakry</w:t>
      </w:r>
      <w:proofErr w:type="spellEnd"/>
      <w:r>
        <w:rPr>
          <w:rFonts w:ascii="Times New Roman" w:hAnsi="Times New Roman" w:cs="Times New Roman"/>
          <w:sz w:val="22"/>
          <w:szCs w:val="22"/>
          <w:lang w:val="en-US"/>
        </w:rPr>
        <w:t xml:space="preserve">, M., </w:t>
      </w:r>
      <w:r w:rsidRPr="00C959A6">
        <w:rPr>
          <w:rFonts w:ascii="Times New Roman" w:hAnsi="Times New Roman" w:cs="Times New Roman"/>
          <w:i/>
          <w:iCs/>
          <w:sz w:val="22"/>
          <w:szCs w:val="22"/>
          <w:lang w:val="en-US"/>
        </w:rPr>
        <w:t>et al</w:t>
      </w:r>
      <w:r>
        <w:rPr>
          <w:rFonts w:ascii="Times New Roman" w:hAnsi="Times New Roman" w:cs="Times New Roman"/>
          <w:sz w:val="22"/>
          <w:szCs w:val="22"/>
          <w:lang w:val="en-US"/>
        </w:rPr>
        <w:t xml:space="preserve">., </w:t>
      </w:r>
      <w:r w:rsidRPr="00C959A6">
        <w:rPr>
          <w:rFonts w:ascii="Times New Roman" w:hAnsi="Times New Roman" w:cs="Times New Roman"/>
          <w:sz w:val="22"/>
          <w:szCs w:val="22"/>
        </w:rPr>
        <w:t>How to Attract Millennials? Indonesian Sharia Banking Opportunities</w:t>
      </w:r>
      <w:r>
        <w:rPr>
          <w:rFonts w:ascii="Times New Roman" w:hAnsi="Times New Roman" w:cs="Times New Roman"/>
          <w:sz w:val="22"/>
          <w:szCs w:val="22"/>
        </w:rPr>
        <w:t xml:space="preserve">, </w:t>
      </w:r>
      <w:r w:rsidRPr="00C959A6">
        <w:rPr>
          <w:rFonts w:ascii="Times New Roman" w:hAnsi="Times New Roman" w:cs="Times New Roman"/>
          <w:i/>
          <w:iCs/>
          <w:sz w:val="22"/>
          <w:szCs w:val="22"/>
        </w:rPr>
        <w:t>WSEAS TRANSACTIONS on BUSINESS and ECONOMICS</w:t>
      </w:r>
      <w:r>
        <w:rPr>
          <w:rFonts w:ascii="Times New Roman" w:hAnsi="Times New Roman" w:cs="Times New Roman"/>
          <w:sz w:val="22"/>
          <w:szCs w:val="22"/>
        </w:rPr>
        <w:t>, Vol. 18, 2021, pp. 376-385.</w:t>
      </w:r>
    </w:p>
    <w:p w14:paraId="413AC3D7" w14:textId="22C5E2CA" w:rsidR="00C959A6" w:rsidRPr="00C959A6" w:rsidRDefault="00C959A6"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iCs/>
          <w:color w:val="000000"/>
          <w:sz w:val="22"/>
          <w:szCs w:val="22"/>
          <w:lang w:val="id-ID"/>
        </w:rPr>
        <w:t>Zahra, S.F.</w:t>
      </w:r>
      <w:r w:rsidRPr="00D923A9">
        <w:rPr>
          <w:rFonts w:ascii="Times New Roman" w:hAnsi="Times New Roman"/>
          <w:iCs/>
          <w:color w:val="000000"/>
          <w:sz w:val="22"/>
          <w:szCs w:val="22"/>
        </w:rPr>
        <w:t xml:space="preserve">, </w:t>
      </w:r>
      <w:r w:rsidRPr="00D923A9">
        <w:rPr>
          <w:rFonts w:ascii="Times New Roman" w:hAnsi="Times New Roman"/>
          <w:iCs/>
          <w:color w:val="000000"/>
          <w:sz w:val="22"/>
          <w:szCs w:val="22"/>
          <w:lang w:val="id-ID"/>
        </w:rPr>
        <w:t>Murdayanti, Y.</w:t>
      </w:r>
      <w:r w:rsidRPr="00D923A9">
        <w:rPr>
          <w:rFonts w:ascii="Times New Roman" w:hAnsi="Times New Roman"/>
          <w:iCs/>
          <w:color w:val="000000"/>
          <w:sz w:val="22"/>
          <w:szCs w:val="22"/>
        </w:rPr>
        <w:t>,</w:t>
      </w:r>
      <w:r w:rsidRPr="00D923A9">
        <w:rPr>
          <w:rFonts w:ascii="Times New Roman" w:hAnsi="Times New Roman"/>
          <w:iCs/>
          <w:color w:val="000000"/>
          <w:sz w:val="22"/>
          <w:szCs w:val="22"/>
          <w:lang w:val="id-ID"/>
        </w:rPr>
        <w:t xml:space="preserve"> and</w:t>
      </w:r>
      <w:r w:rsidRPr="00D923A9">
        <w:rPr>
          <w:rFonts w:ascii="Times New Roman" w:hAnsi="Times New Roman"/>
          <w:iCs/>
          <w:color w:val="000000"/>
          <w:sz w:val="22"/>
          <w:szCs w:val="22"/>
        </w:rPr>
        <w:t xml:space="preserve"> </w:t>
      </w:r>
      <w:r w:rsidRPr="00D923A9">
        <w:rPr>
          <w:rFonts w:ascii="Times New Roman" w:hAnsi="Times New Roman"/>
          <w:iCs/>
          <w:color w:val="000000"/>
          <w:sz w:val="22"/>
          <w:szCs w:val="22"/>
          <w:lang w:val="id-ID"/>
        </w:rPr>
        <w:t>Amal, M.I.</w:t>
      </w:r>
      <w:r>
        <w:rPr>
          <w:rFonts w:ascii="Times New Roman" w:hAnsi="Times New Roman"/>
          <w:iCs/>
          <w:color w:val="000000"/>
          <w:sz w:val="22"/>
          <w:szCs w:val="22"/>
          <w:lang w:val="en-US"/>
        </w:rPr>
        <w:t>,</w:t>
      </w:r>
      <w:r w:rsidRPr="00D923A9">
        <w:rPr>
          <w:rFonts w:ascii="Times New Roman" w:hAnsi="Times New Roman"/>
          <w:iCs/>
          <w:color w:val="000000"/>
          <w:sz w:val="22"/>
          <w:szCs w:val="22"/>
          <w:lang w:val="id-ID"/>
        </w:rPr>
        <w:t xml:space="preserve"> </w:t>
      </w:r>
      <w:r w:rsidRPr="00D923A9">
        <w:rPr>
          <w:rFonts w:ascii="Times New Roman" w:hAnsi="Times New Roman"/>
          <w:bCs/>
          <w:sz w:val="22"/>
          <w:szCs w:val="22"/>
        </w:rPr>
        <w:t xml:space="preserve">Sharia Banking Stability Against Macroeconomic Shocks: A Comparative </w:t>
      </w:r>
      <w:r w:rsidRPr="00D923A9">
        <w:rPr>
          <w:rFonts w:ascii="Times New Roman" w:hAnsi="Times New Roman"/>
          <w:bCs/>
          <w:sz w:val="22"/>
          <w:szCs w:val="22"/>
        </w:rPr>
        <w:lastRenderedPageBreak/>
        <w:t>Analysis in the ASEAN Region</w:t>
      </w:r>
      <w:r>
        <w:rPr>
          <w:rFonts w:ascii="Times New Roman" w:hAnsi="Times New Roman"/>
          <w:bCs/>
          <w:sz w:val="22"/>
          <w:szCs w:val="22"/>
          <w:lang w:val="en-US"/>
        </w:rPr>
        <w:t>,</w:t>
      </w:r>
      <w:r w:rsidRPr="00D923A9">
        <w:rPr>
          <w:rFonts w:ascii="Times New Roman" w:hAnsi="Times New Roman"/>
          <w:iCs/>
          <w:color w:val="000000"/>
          <w:sz w:val="22"/>
          <w:szCs w:val="22"/>
        </w:rPr>
        <w:t xml:space="preserve"> </w:t>
      </w:r>
      <w:r w:rsidRPr="00D923A9">
        <w:rPr>
          <w:rFonts w:ascii="Times New Roman" w:hAnsi="Times New Roman"/>
          <w:i/>
          <w:iCs/>
          <w:color w:val="000000"/>
          <w:sz w:val="22"/>
          <w:szCs w:val="22"/>
        </w:rPr>
        <w:t>Journal of Asian Finance, Economics and Business</w:t>
      </w:r>
      <w:r w:rsidRPr="00D923A9">
        <w:rPr>
          <w:rFonts w:ascii="Times New Roman" w:hAnsi="Times New Roman"/>
          <w:iCs/>
          <w:color w:val="000000"/>
          <w:sz w:val="22"/>
          <w:szCs w:val="22"/>
          <w:lang w:val="id-ID"/>
        </w:rPr>
        <w:t>,</w:t>
      </w:r>
      <w:r w:rsidRPr="00D923A9">
        <w:rPr>
          <w:rFonts w:ascii="Times New Roman" w:hAnsi="Times New Roman"/>
          <w:iCs/>
          <w:color w:val="000000"/>
          <w:sz w:val="22"/>
          <w:szCs w:val="22"/>
        </w:rPr>
        <w:t xml:space="preserve"> </w:t>
      </w:r>
      <w:r>
        <w:rPr>
          <w:rFonts w:ascii="Times New Roman" w:hAnsi="Times New Roman"/>
          <w:iCs/>
          <w:color w:val="000000"/>
          <w:sz w:val="22"/>
          <w:szCs w:val="22"/>
        </w:rPr>
        <w:t xml:space="preserve">Vol. </w:t>
      </w:r>
      <w:r w:rsidRPr="00D923A9">
        <w:rPr>
          <w:rFonts w:ascii="Times New Roman" w:hAnsi="Times New Roman"/>
          <w:iCs/>
          <w:color w:val="000000"/>
          <w:sz w:val="22"/>
          <w:szCs w:val="22"/>
        </w:rPr>
        <w:t>8</w:t>
      </w:r>
      <w:r>
        <w:rPr>
          <w:rFonts w:ascii="Times New Roman" w:hAnsi="Times New Roman"/>
          <w:iCs/>
          <w:color w:val="000000"/>
          <w:sz w:val="22"/>
          <w:szCs w:val="22"/>
          <w:lang w:val="en-US"/>
        </w:rPr>
        <w:t xml:space="preserve">, No. </w:t>
      </w:r>
      <w:r w:rsidRPr="00D923A9">
        <w:rPr>
          <w:rFonts w:ascii="Times New Roman" w:hAnsi="Times New Roman"/>
          <w:iCs/>
          <w:color w:val="000000"/>
          <w:sz w:val="22"/>
          <w:szCs w:val="22"/>
        </w:rPr>
        <w:t>4</w:t>
      </w:r>
      <w:r w:rsidRPr="00D923A9">
        <w:rPr>
          <w:rFonts w:ascii="Times New Roman" w:hAnsi="Times New Roman"/>
          <w:iCs/>
          <w:color w:val="000000"/>
          <w:sz w:val="22"/>
          <w:szCs w:val="22"/>
          <w:lang w:val="id-ID"/>
        </w:rPr>
        <w:t>,</w:t>
      </w:r>
      <w:r>
        <w:rPr>
          <w:rFonts w:ascii="Times New Roman" w:hAnsi="Times New Roman"/>
          <w:iCs/>
          <w:color w:val="000000"/>
          <w:sz w:val="22"/>
          <w:szCs w:val="22"/>
          <w:lang w:val="en-US"/>
        </w:rPr>
        <w:t xml:space="preserve"> </w:t>
      </w:r>
      <w:r w:rsidRPr="00D923A9">
        <w:rPr>
          <w:rFonts w:ascii="Times New Roman" w:hAnsi="Times New Roman"/>
          <w:iCs/>
          <w:color w:val="000000"/>
          <w:sz w:val="22"/>
          <w:szCs w:val="22"/>
          <w:lang w:val="id-ID"/>
        </w:rPr>
        <w:t>2021</w:t>
      </w:r>
      <w:r>
        <w:rPr>
          <w:rFonts w:ascii="Times New Roman" w:hAnsi="Times New Roman"/>
          <w:iCs/>
          <w:color w:val="000000"/>
          <w:sz w:val="22"/>
          <w:szCs w:val="22"/>
          <w:lang w:val="en-US"/>
        </w:rPr>
        <w:t>, pp.</w:t>
      </w:r>
      <w:r w:rsidRPr="00D923A9">
        <w:rPr>
          <w:rFonts w:ascii="Times New Roman" w:hAnsi="Times New Roman"/>
          <w:iCs/>
          <w:color w:val="000000"/>
          <w:sz w:val="22"/>
          <w:szCs w:val="22"/>
        </w:rPr>
        <w:t xml:space="preserve"> 151–159</w:t>
      </w:r>
      <w:r w:rsidRPr="00D923A9">
        <w:rPr>
          <w:rFonts w:ascii="Times New Roman" w:hAnsi="Times New Roman"/>
          <w:iCs/>
          <w:color w:val="000000"/>
          <w:sz w:val="22"/>
          <w:szCs w:val="22"/>
          <w:lang w:val="id-ID"/>
        </w:rPr>
        <w:t xml:space="preserve">. </w:t>
      </w:r>
      <w:hyperlink r:id="rId11" w:history="1">
        <w:r w:rsidRPr="00DA111C">
          <w:rPr>
            <w:rStyle w:val="Hyperlink"/>
            <w:rFonts w:ascii="Times New Roman" w:hAnsi="Times New Roman"/>
            <w:iCs/>
            <w:sz w:val="22"/>
            <w:szCs w:val="22"/>
            <w:lang w:val="id-ID"/>
          </w:rPr>
          <w:t>https://doi.org/</w:t>
        </w:r>
        <w:r w:rsidRPr="00DA111C">
          <w:rPr>
            <w:rStyle w:val="Hyperlink"/>
            <w:rFonts w:ascii="Times New Roman" w:hAnsi="Times New Roman"/>
            <w:iCs/>
            <w:sz w:val="22"/>
            <w:szCs w:val="22"/>
            <w:lang w:val="en-US"/>
          </w:rPr>
          <w:t xml:space="preserve"> </w:t>
        </w:r>
        <w:r w:rsidRPr="00DA111C">
          <w:rPr>
            <w:rStyle w:val="Hyperlink"/>
            <w:rFonts w:ascii="Times New Roman" w:hAnsi="Times New Roman"/>
            <w:iCs/>
            <w:sz w:val="22"/>
            <w:szCs w:val="22"/>
            <w:lang w:val="id-ID"/>
          </w:rPr>
          <w:t>10.13106/jafeb.2021.vol8.no4.0151</w:t>
        </w:r>
      </w:hyperlink>
    </w:p>
    <w:p w14:paraId="1C9A1901" w14:textId="07682286" w:rsidR="00C959A6" w:rsidRPr="00C959A6" w:rsidRDefault="00C959A6"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iCs/>
          <w:color w:val="000000"/>
          <w:sz w:val="22"/>
          <w:szCs w:val="22"/>
          <w:lang w:val="id-ID"/>
        </w:rPr>
        <w:t>Yusuf, A.A</w:t>
      </w:r>
      <w:r w:rsidRPr="00D923A9">
        <w:rPr>
          <w:rFonts w:ascii="Times New Roman" w:hAnsi="Times New Roman"/>
          <w:iCs/>
          <w:color w:val="000000"/>
          <w:sz w:val="22"/>
          <w:szCs w:val="22"/>
        </w:rPr>
        <w:t xml:space="preserve">, </w:t>
      </w:r>
      <w:r w:rsidRPr="00D923A9">
        <w:rPr>
          <w:rFonts w:ascii="Times New Roman" w:hAnsi="Times New Roman"/>
          <w:iCs/>
          <w:color w:val="000000"/>
          <w:sz w:val="22"/>
          <w:szCs w:val="22"/>
          <w:lang w:val="id-ID"/>
        </w:rPr>
        <w:t>Santi, N.</w:t>
      </w:r>
      <w:r w:rsidRPr="00D923A9">
        <w:rPr>
          <w:rFonts w:ascii="Times New Roman" w:hAnsi="Times New Roman"/>
          <w:iCs/>
          <w:color w:val="000000"/>
          <w:sz w:val="22"/>
          <w:szCs w:val="22"/>
        </w:rPr>
        <w:t>,</w:t>
      </w:r>
      <w:r w:rsidRPr="00D923A9">
        <w:rPr>
          <w:rFonts w:ascii="Times New Roman" w:hAnsi="Times New Roman"/>
          <w:iCs/>
          <w:color w:val="000000"/>
          <w:sz w:val="22"/>
          <w:szCs w:val="22"/>
          <w:lang w:val="id-ID"/>
        </w:rPr>
        <w:t xml:space="preserve"> and</w:t>
      </w:r>
      <w:r w:rsidRPr="00D923A9">
        <w:rPr>
          <w:rFonts w:ascii="Times New Roman" w:hAnsi="Times New Roman"/>
          <w:iCs/>
          <w:color w:val="000000"/>
          <w:sz w:val="22"/>
          <w:szCs w:val="22"/>
        </w:rPr>
        <w:t xml:space="preserve"> </w:t>
      </w:r>
      <w:r w:rsidRPr="00D923A9">
        <w:rPr>
          <w:rFonts w:ascii="Times New Roman" w:hAnsi="Times New Roman"/>
          <w:iCs/>
          <w:color w:val="000000"/>
          <w:sz w:val="22"/>
          <w:szCs w:val="22"/>
          <w:lang w:val="id-ID"/>
        </w:rPr>
        <w:t>Rismaya, E.</w:t>
      </w:r>
      <w:r>
        <w:rPr>
          <w:rFonts w:ascii="Times New Roman" w:hAnsi="Times New Roman"/>
          <w:iCs/>
          <w:color w:val="000000"/>
          <w:sz w:val="22"/>
          <w:szCs w:val="22"/>
          <w:lang w:val="en-US"/>
        </w:rPr>
        <w:t>,</w:t>
      </w:r>
      <w:r w:rsidRPr="00D923A9">
        <w:rPr>
          <w:rFonts w:ascii="Times New Roman" w:hAnsi="Times New Roman"/>
          <w:iCs/>
          <w:color w:val="000000"/>
          <w:sz w:val="22"/>
          <w:szCs w:val="22"/>
          <w:lang w:val="id-ID"/>
        </w:rPr>
        <w:t xml:space="preserve"> </w:t>
      </w:r>
      <w:r w:rsidRPr="00D923A9">
        <w:rPr>
          <w:rFonts w:ascii="Times New Roman" w:hAnsi="Times New Roman"/>
          <w:bCs/>
          <w:sz w:val="22"/>
          <w:szCs w:val="22"/>
        </w:rPr>
        <w:t>The Efficiency of Islamic Banks: Empirical Evidence from Indonesia</w:t>
      </w:r>
      <w:r>
        <w:rPr>
          <w:rFonts w:ascii="Times New Roman" w:hAnsi="Times New Roman"/>
          <w:bCs/>
          <w:sz w:val="22"/>
          <w:szCs w:val="22"/>
          <w:lang w:val="en-US"/>
        </w:rPr>
        <w:t>,</w:t>
      </w:r>
      <w:r w:rsidRPr="00D923A9">
        <w:rPr>
          <w:rFonts w:ascii="Times New Roman" w:hAnsi="Times New Roman"/>
          <w:iCs/>
          <w:color w:val="000000"/>
          <w:sz w:val="22"/>
          <w:szCs w:val="22"/>
        </w:rPr>
        <w:t xml:space="preserve"> </w:t>
      </w:r>
      <w:r w:rsidRPr="00D923A9">
        <w:rPr>
          <w:rFonts w:ascii="Times New Roman" w:hAnsi="Times New Roman"/>
          <w:i/>
          <w:iCs/>
          <w:color w:val="000000"/>
          <w:sz w:val="22"/>
          <w:szCs w:val="22"/>
        </w:rPr>
        <w:t>Journal of Asian Finance, Economics and Business</w:t>
      </w:r>
      <w:r w:rsidRPr="00D923A9">
        <w:rPr>
          <w:rFonts w:ascii="Times New Roman" w:hAnsi="Times New Roman"/>
          <w:iCs/>
          <w:color w:val="000000"/>
          <w:sz w:val="22"/>
          <w:szCs w:val="22"/>
          <w:lang w:val="id-ID"/>
        </w:rPr>
        <w:t>,</w:t>
      </w:r>
      <w:r>
        <w:rPr>
          <w:rFonts w:ascii="Times New Roman" w:hAnsi="Times New Roman"/>
          <w:iCs/>
          <w:color w:val="000000"/>
          <w:sz w:val="22"/>
          <w:szCs w:val="22"/>
          <w:lang w:val="en-US"/>
        </w:rPr>
        <w:t xml:space="preserve"> Vol.</w:t>
      </w:r>
      <w:r w:rsidRPr="00D923A9">
        <w:rPr>
          <w:rFonts w:ascii="Times New Roman" w:hAnsi="Times New Roman"/>
          <w:iCs/>
          <w:color w:val="000000"/>
          <w:sz w:val="22"/>
          <w:szCs w:val="22"/>
        </w:rPr>
        <w:t xml:space="preserve"> </w:t>
      </w:r>
      <w:r w:rsidRPr="00C959A6">
        <w:rPr>
          <w:rFonts w:ascii="Times New Roman" w:hAnsi="Times New Roman"/>
          <w:color w:val="000000"/>
          <w:sz w:val="22"/>
          <w:szCs w:val="22"/>
        </w:rPr>
        <w:t>8</w:t>
      </w:r>
      <w:r>
        <w:rPr>
          <w:rFonts w:ascii="Times New Roman" w:hAnsi="Times New Roman"/>
          <w:iCs/>
          <w:color w:val="000000"/>
          <w:sz w:val="22"/>
          <w:szCs w:val="22"/>
          <w:lang w:val="en-US"/>
        </w:rPr>
        <w:t xml:space="preserve">, No. </w:t>
      </w:r>
      <w:r w:rsidRPr="00D923A9">
        <w:rPr>
          <w:rFonts w:ascii="Times New Roman" w:hAnsi="Times New Roman"/>
          <w:iCs/>
          <w:color w:val="000000"/>
          <w:sz w:val="22"/>
          <w:szCs w:val="22"/>
        </w:rPr>
        <w:t>4</w:t>
      </w:r>
      <w:r w:rsidRPr="00D923A9">
        <w:rPr>
          <w:rFonts w:ascii="Times New Roman" w:hAnsi="Times New Roman"/>
          <w:iCs/>
          <w:color w:val="000000"/>
          <w:sz w:val="22"/>
          <w:szCs w:val="22"/>
          <w:lang w:val="id-ID"/>
        </w:rPr>
        <w:t>,</w:t>
      </w:r>
      <w:r>
        <w:rPr>
          <w:rFonts w:ascii="Times New Roman" w:hAnsi="Times New Roman"/>
          <w:iCs/>
          <w:color w:val="000000"/>
          <w:sz w:val="22"/>
          <w:szCs w:val="22"/>
          <w:lang w:val="en-US"/>
        </w:rPr>
        <w:t xml:space="preserve"> </w:t>
      </w:r>
      <w:r w:rsidRPr="00D923A9">
        <w:rPr>
          <w:rFonts w:ascii="Times New Roman" w:hAnsi="Times New Roman"/>
          <w:iCs/>
          <w:color w:val="000000"/>
          <w:sz w:val="22"/>
          <w:szCs w:val="22"/>
          <w:lang w:val="id-ID"/>
        </w:rPr>
        <w:t>2021</w:t>
      </w:r>
      <w:r>
        <w:rPr>
          <w:rFonts w:ascii="Times New Roman" w:hAnsi="Times New Roman"/>
          <w:iCs/>
          <w:color w:val="000000"/>
          <w:sz w:val="22"/>
          <w:szCs w:val="22"/>
          <w:lang w:val="en-US"/>
        </w:rPr>
        <w:t>, pp.</w:t>
      </w:r>
      <w:r w:rsidRPr="00D923A9">
        <w:rPr>
          <w:rFonts w:ascii="Times New Roman" w:hAnsi="Times New Roman"/>
          <w:iCs/>
          <w:color w:val="000000"/>
          <w:sz w:val="22"/>
          <w:szCs w:val="22"/>
        </w:rPr>
        <w:t xml:space="preserve"> 0239–0247</w:t>
      </w:r>
      <w:r w:rsidRPr="00D923A9">
        <w:rPr>
          <w:rFonts w:ascii="Times New Roman" w:hAnsi="Times New Roman"/>
          <w:iCs/>
          <w:color w:val="000000"/>
          <w:sz w:val="22"/>
          <w:szCs w:val="22"/>
          <w:lang w:val="id-ID"/>
        </w:rPr>
        <w:t xml:space="preserve">. </w:t>
      </w:r>
      <w:r>
        <w:rPr>
          <w:rFonts w:ascii="Times New Roman" w:hAnsi="Times New Roman" w:cs="Times New Roman"/>
          <w:iCs/>
          <w:sz w:val="22"/>
          <w:szCs w:val="22"/>
          <w:lang w:val="id-ID"/>
        </w:rPr>
        <w:fldChar w:fldCharType="begin"/>
      </w:r>
      <w:r>
        <w:rPr>
          <w:rFonts w:ascii="Times New Roman" w:hAnsi="Times New Roman" w:cs="Times New Roman"/>
          <w:iCs/>
          <w:sz w:val="22"/>
          <w:szCs w:val="22"/>
          <w:lang w:val="id-ID"/>
        </w:rPr>
        <w:instrText xml:space="preserve"> HYPERLINK "</w:instrText>
      </w:r>
      <w:r w:rsidRPr="00C959A6">
        <w:rPr>
          <w:rFonts w:ascii="Times New Roman" w:hAnsi="Times New Roman" w:cs="Times New Roman"/>
          <w:iCs/>
          <w:sz w:val="22"/>
          <w:szCs w:val="22"/>
          <w:lang w:val="id-ID"/>
        </w:rPr>
        <w:instrText>https://doi.org/</w:instrText>
      </w:r>
      <w:r w:rsidRPr="00C959A6">
        <w:rPr>
          <w:rFonts w:ascii="Times New Roman" w:hAnsi="Times New Roman" w:cs="Times New Roman"/>
          <w:iCs/>
          <w:sz w:val="22"/>
          <w:szCs w:val="22"/>
          <w:lang w:val="en-US"/>
        </w:rPr>
        <w:instrText xml:space="preserve"> </w:instrText>
      </w:r>
      <w:r w:rsidRPr="00C959A6">
        <w:rPr>
          <w:rFonts w:ascii="Times New Roman" w:hAnsi="Times New Roman" w:cs="Times New Roman"/>
          <w:iCs/>
          <w:sz w:val="22"/>
          <w:szCs w:val="22"/>
          <w:lang w:val="id-ID"/>
        </w:rPr>
        <w:instrText>10.13106/jafeb.2021.vol8.no4.0239</w:instrText>
      </w:r>
      <w:r>
        <w:rPr>
          <w:rFonts w:ascii="Times New Roman" w:hAnsi="Times New Roman" w:cs="Times New Roman"/>
          <w:iCs/>
          <w:sz w:val="22"/>
          <w:szCs w:val="22"/>
          <w:lang w:val="id-ID"/>
        </w:rPr>
        <w:instrText xml:space="preserve">" </w:instrText>
      </w:r>
      <w:r>
        <w:rPr>
          <w:rFonts w:ascii="Times New Roman" w:hAnsi="Times New Roman" w:cs="Times New Roman"/>
          <w:iCs/>
          <w:sz w:val="22"/>
          <w:szCs w:val="22"/>
          <w:lang w:val="id-ID"/>
        </w:rPr>
        <w:fldChar w:fldCharType="separate"/>
      </w:r>
      <w:r w:rsidRPr="00DA111C">
        <w:rPr>
          <w:rStyle w:val="Hyperlink"/>
          <w:rFonts w:ascii="Times New Roman" w:hAnsi="Times New Roman"/>
          <w:iCs/>
          <w:sz w:val="22"/>
          <w:szCs w:val="22"/>
          <w:lang w:val="id-ID"/>
        </w:rPr>
        <w:t>https://doi.org/</w:t>
      </w:r>
      <w:r w:rsidRPr="00DA111C">
        <w:rPr>
          <w:rStyle w:val="Hyperlink"/>
          <w:rFonts w:ascii="Times New Roman" w:hAnsi="Times New Roman"/>
          <w:iCs/>
          <w:sz w:val="22"/>
          <w:szCs w:val="22"/>
          <w:lang w:val="en-US"/>
        </w:rPr>
        <w:t xml:space="preserve"> </w:t>
      </w:r>
      <w:r w:rsidRPr="00DA111C">
        <w:rPr>
          <w:rStyle w:val="Hyperlink"/>
          <w:rFonts w:ascii="Times New Roman" w:hAnsi="Times New Roman"/>
          <w:iCs/>
          <w:sz w:val="22"/>
          <w:szCs w:val="22"/>
          <w:lang w:val="id-ID"/>
        </w:rPr>
        <w:t>10.13106/jafeb.2021.vol8.no4.0239</w:t>
      </w:r>
      <w:r>
        <w:rPr>
          <w:rFonts w:ascii="Times New Roman" w:hAnsi="Times New Roman" w:cs="Times New Roman"/>
          <w:iCs/>
          <w:sz w:val="22"/>
          <w:szCs w:val="22"/>
          <w:lang w:val="id-ID"/>
        </w:rPr>
        <w:fldChar w:fldCharType="end"/>
      </w:r>
    </w:p>
    <w:p w14:paraId="4101145E" w14:textId="3C3AB9C9" w:rsidR="00C959A6" w:rsidRPr="00973261" w:rsidRDefault="00C959A6"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Susanto, H.</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General Support Staff, Interview</w:t>
      </w:r>
      <w:r w:rsidRPr="00D923A9">
        <w:rPr>
          <w:rFonts w:ascii="Times New Roman" w:hAnsi="Times New Roman"/>
          <w:color w:val="000000" w:themeColor="text1"/>
          <w:sz w:val="22"/>
          <w:szCs w:val="22"/>
          <w:lang w:val="id-ID"/>
        </w:rPr>
        <w:t>.</w:t>
      </w:r>
      <w:r w:rsidRPr="00D923A9">
        <w:rPr>
          <w:rFonts w:ascii="Times New Roman" w:hAnsi="Times New Roman"/>
          <w:color w:val="000000" w:themeColor="text1"/>
          <w:sz w:val="22"/>
          <w:szCs w:val="22"/>
        </w:rPr>
        <w:t xml:space="preserve"> Metro, March 3, 2017.</w:t>
      </w:r>
    </w:p>
    <w:p w14:paraId="33F63235" w14:textId="664C24DC" w:rsidR="00973261" w:rsidRPr="00973261" w:rsidRDefault="00973261"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Muslimin, U.R., Habbe, A.H., and Tawakkal</w:t>
      </w:r>
      <w:r>
        <w:rPr>
          <w:rFonts w:ascii="Times New Roman" w:hAnsi="Times New Roman"/>
          <w:color w:val="000000" w:themeColor="text1"/>
          <w:sz w:val="22"/>
          <w:szCs w:val="22"/>
          <w:lang w:val="en-US"/>
        </w:rPr>
        <w:t>,</w:t>
      </w:r>
      <w:r w:rsidRPr="00D923A9">
        <w:rPr>
          <w:rFonts w:ascii="Times New Roman" w:hAnsi="Times New Roman"/>
          <w:bCs/>
          <w:iCs/>
          <w:color w:val="000000" w:themeColor="text1"/>
          <w:sz w:val="22"/>
          <w:szCs w:val="22"/>
          <w:lang w:val="id-ID"/>
        </w:rPr>
        <w:t xml:space="preserve"> </w:t>
      </w:r>
      <w:r w:rsidRPr="00D923A9">
        <w:rPr>
          <w:rFonts w:ascii="Times New Roman" w:hAnsi="Times New Roman"/>
          <w:bCs/>
          <w:i/>
          <w:iCs/>
          <w:color w:val="000000" w:themeColor="text1"/>
          <w:sz w:val="22"/>
          <w:szCs w:val="22"/>
        </w:rPr>
        <w:t xml:space="preserve">Religiosity, Religiosity Gap, and Sharia Bank Customer Switching </w:t>
      </w:r>
      <w:proofErr w:type="spellStart"/>
      <w:r w:rsidRPr="00D923A9">
        <w:rPr>
          <w:rFonts w:ascii="Times New Roman" w:hAnsi="Times New Roman"/>
          <w:bCs/>
          <w:i/>
          <w:iCs/>
          <w:color w:val="000000" w:themeColor="text1"/>
          <w:sz w:val="22"/>
          <w:szCs w:val="22"/>
        </w:rPr>
        <w:t>Behavior</w:t>
      </w:r>
      <w:proofErr w:type="spellEnd"/>
      <w:r>
        <w:rPr>
          <w:rFonts w:ascii="Times New Roman" w:hAnsi="Times New Roman"/>
          <w:bCs/>
          <w:iCs/>
          <w:color w:val="000000" w:themeColor="text1"/>
          <w:sz w:val="22"/>
          <w:szCs w:val="22"/>
          <w:lang w:val="en-US"/>
        </w:rPr>
        <w:t>,</w:t>
      </w:r>
      <w:r w:rsidRPr="00D923A9">
        <w:rPr>
          <w:rFonts w:ascii="Times New Roman" w:hAnsi="Times New Roman"/>
          <w:bCs/>
          <w:iCs/>
          <w:color w:val="000000" w:themeColor="text1"/>
          <w:sz w:val="22"/>
          <w:szCs w:val="22"/>
          <w:lang w:val="id-ID"/>
        </w:rPr>
        <w:t xml:space="preserve"> </w:t>
      </w:r>
      <w:r w:rsidRPr="00D923A9">
        <w:rPr>
          <w:rFonts w:ascii="Times New Roman" w:hAnsi="Times New Roman"/>
          <w:color w:val="000000" w:themeColor="text1"/>
          <w:sz w:val="22"/>
          <w:szCs w:val="22"/>
          <w:shd w:val="clear" w:color="auto" w:fill="FFFFFF"/>
        </w:rPr>
        <w:t xml:space="preserve">Universitas </w:t>
      </w:r>
      <w:proofErr w:type="spellStart"/>
      <w:r w:rsidRPr="00D923A9">
        <w:rPr>
          <w:rFonts w:ascii="Times New Roman" w:hAnsi="Times New Roman"/>
          <w:color w:val="000000" w:themeColor="text1"/>
          <w:sz w:val="22"/>
          <w:szCs w:val="22"/>
          <w:shd w:val="clear" w:color="auto" w:fill="FFFFFF"/>
        </w:rPr>
        <w:t>Hasanuddin</w:t>
      </w:r>
      <w:proofErr w:type="spellEnd"/>
      <w:r w:rsidRPr="00D923A9">
        <w:rPr>
          <w:rFonts w:ascii="Times New Roman" w:hAnsi="Times New Roman"/>
          <w:color w:val="000000" w:themeColor="text1"/>
          <w:sz w:val="22"/>
          <w:szCs w:val="22"/>
          <w:shd w:val="clear" w:color="auto" w:fill="FFFFFF"/>
        </w:rPr>
        <w:t xml:space="preserve"> : </w:t>
      </w:r>
      <w:proofErr w:type="spellStart"/>
      <w:r w:rsidRPr="00D923A9">
        <w:rPr>
          <w:rFonts w:ascii="Times New Roman" w:hAnsi="Times New Roman"/>
          <w:color w:val="000000" w:themeColor="text1"/>
          <w:sz w:val="22"/>
          <w:szCs w:val="22"/>
          <w:shd w:val="clear" w:color="auto" w:fill="FFFFFF"/>
        </w:rPr>
        <w:t>Fak</w:t>
      </w:r>
      <w:proofErr w:type="spellEnd"/>
      <w:r w:rsidRPr="00D923A9">
        <w:rPr>
          <w:rFonts w:ascii="Times New Roman" w:hAnsi="Times New Roman"/>
          <w:color w:val="000000" w:themeColor="text1"/>
          <w:sz w:val="22"/>
          <w:szCs w:val="22"/>
          <w:shd w:val="clear" w:color="auto" w:fill="FFFFFF"/>
          <w:lang w:val="id-ID"/>
        </w:rPr>
        <w:t xml:space="preserve">ultas </w:t>
      </w:r>
      <w:proofErr w:type="spellStart"/>
      <w:r w:rsidRPr="00D923A9">
        <w:rPr>
          <w:rFonts w:ascii="Times New Roman" w:hAnsi="Times New Roman"/>
          <w:color w:val="000000" w:themeColor="text1"/>
          <w:sz w:val="22"/>
          <w:szCs w:val="22"/>
          <w:shd w:val="clear" w:color="auto" w:fill="FFFFFF"/>
        </w:rPr>
        <w:t>Ekonomi</w:t>
      </w:r>
      <w:proofErr w:type="spellEnd"/>
      <w:r w:rsidRPr="00D923A9">
        <w:rPr>
          <w:rFonts w:ascii="Times New Roman" w:hAnsi="Times New Roman"/>
          <w:color w:val="000000" w:themeColor="text1"/>
          <w:sz w:val="22"/>
          <w:szCs w:val="22"/>
          <w:shd w:val="clear" w:color="auto" w:fill="FFFFFF"/>
        </w:rPr>
        <w:t xml:space="preserve"> dan </w:t>
      </w:r>
      <w:proofErr w:type="spellStart"/>
      <w:r w:rsidRPr="00D923A9">
        <w:rPr>
          <w:rFonts w:ascii="Times New Roman" w:hAnsi="Times New Roman"/>
          <w:color w:val="000000" w:themeColor="text1"/>
          <w:sz w:val="22"/>
          <w:szCs w:val="22"/>
          <w:shd w:val="clear" w:color="auto" w:fill="FFFFFF"/>
        </w:rPr>
        <w:t>Bisnis</w:t>
      </w:r>
      <w:proofErr w:type="spellEnd"/>
      <w:r>
        <w:rPr>
          <w:rFonts w:ascii="Times New Roman" w:hAnsi="Times New Roman"/>
          <w:color w:val="000000" w:themeColor="text1"/>
          <w:sz w:val="22"/>
          <w:szCs w:val="22"/>
          <w:shd w:val="clear" w:color="auto" w:fill="FFFFFF"/>
        </w:rPr>
        <w:t xml:space="preserve">, </w:t>
      </w:r>
      <w:r w:rsidRPr="00D923A9">
        <w:rPr>
          <w:rFonts w:ascii="Times New Roman" w:hAnsi="Times New Roman"/>
          <w:bCs/>
          <w:iCs/>
          <w:color w:val="000000" w:themeColor="text1"/>
          <w:sz w:val="22"/>
          <w:szCs w:val="22"/>
          <w:lang w:val="id-ID"/>
        </w:rPr>
        <w:t>2017</w:t>
      </w:r>
      <w:r w:rsidRPr="00D923A9">
        <w:rPr>
          <w:rFonts w:ascii="Times New Roman" w:hAnsi="Times New Roman"/>
          <w:color w:val="000000" w:themeColor="text1"/>
          <w:sz w:val="22"/>
          <w:szCs w:val="22"/>
          <w:shd w:val="clear" w:color="auto" w:fill="FFFFFF"/>
          <w:lang w:val="id-ID"/>
        </w:rPr>
        <w:t>.</w:t>
      </w:r>
    </w:p>
    <w:p w14:paraId="7899B3CD" w14:textId="51A7AE7C" w:rsid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Pr>
          <w:rFonts w:ascii="Times New Roman" w:hAnsi="Times New Roman"/>
          <w:color w:val="000000" w:themeColor="text1"/>
          <w:sz w:val="22"/>
          <w:szCs w:val="22"/>
          <w:lang w:val="en-US"/>
        </w:rPr>
        <w:t>Wahyudi</w:t>
      </w:r>
      <w:proofErr w:type="spellEnd"/>
      <w:r>
        <w:rPr>
          <w:rFonts w:ascii="Times New Roman" w:hAnsi="Times New Roman"/>
          <w:color w:val="000000" w:themeColor="text1"/>
          <w:sz w:val="22"/>
          <w:szCs w:val="22"/>
          <w:lang w:val="en-US"/>
        </w:rPr>
        <w:t xml:space="preserve">, </w:t>
      </w:r>
      <w:r w:rsidRPr="00973261">
        <w:rPr>
          <w:rFonts w:ascii="Times New Roman" w:hAnsi="Times New Roman"/>
          <w:i/>
          <w:iCs/>
          <w:color w:val="000000" w:themeColor="text1"/>
          <w:sz w:val="22"/>
          <w:szCs w:val="22"/>
          <w:lang w:val="en-US"/>
        </w:rPr>
        <w:t>et al</w:t>
      </w:r>
      <w:r>
        <w:rPr>
          <w:rFonts w:ascii="Times New Roman" w:hAnsi="Times New Roman"/>
          <w:color w:val="000000" w:themeColor="text1"/>
          <w:sz w:val="22"/>
          <w:szCs w:val="22"/>
          <w:lang w:val="en-US"/>
        </w:rPr>
        <w:t xml:space="preserve">., </w:t>
      </w:r>
      <w:r w:rsidRPr="00973261">
        <w:rPr>
          <w:rFonts w:ascii="Times New Roman" w:hAnsi="Times New Roman" w:cs="Times New Roman"/>
          <w:sz w:val="22"/>
          <w:szCs w:val="22"/>
        </w:rPr>
        <w:t xml:space="preserve">Capital Adequacy Ratio, Profit-Sharing and Return On Asset: Case Study of Indonesian Sharia Banks, </w:t>
      </w:r>
      <w:r w:rsidRPr="00C959A6">
        <w:rPr>
          <w:rFonts w:ascii="Times New Roman" w:hAnsi="Times New Roman" w:cs="Times New Roman"/>
          <w:i/>
          <w:iCs/>
          <w:sz w:val="22"/>
          <w:szCs w:val="22"/>
        </w:rPr>
        <w:t>WSEAS TRANSACTIONS on BUSINESS and ECONOMICS</w:t>
      </w:r>
      <w:r>
        <w:rPr>
          <w:rFonts w:ascii="Times New Roman" w:hAnsi="Times New Roman" w:cs="Times New Roman"/>
          <w:sz w:val="22"/>
          <w:szCs w:val="22"/>
        </w:rPr>
        <w:t xml:space="preserve">, </w:t>
      </w:r>
      <w:r w:rsidRPr="00973261">
        <w:rPr>
          <w:rFonts w:ascii="Times New Roman" w:hAnsi="Times New Roman" w:cs="Times New Roman"/>
          <w:sz w:val="22"/>
          <w:szCs w:val="22"/>
        </w:rPr>
        <w:t>Vol. 16, 2019, pp. 138-144</w:t>
      </w:r>
      <w:r>
        <w:rPr>
          <w:rFonts w:ascii="Times New Roman" w:hAnsi="Times New Roman" w:cs="Times New Roman"/>
          <w:sz w:val="22"/>
          <w:szCs w:val="22"/>
        </w:rPr>
        <w:t>.</w:t>
      </w:r>
    </w:p>
    <w:p w14:paraId="214AE5FB" w14:textId="77777777" w:rsidR="00973261" w:rsidRP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1D2228"/>
          <w:sz w:val="22"/>
          <w:szCs w:val="22"/>
          <w:lang w:val="id-ID" w:eastAsia="zh-CN"/>
        </w:rPr>
        <w:t>Barus, E.E. and Soemitra, A.</w:t>
      </w:r>
      <w:r>
        <w:rPr>
          <w:rFonts w:ascii="Times New Roman" w:hAnsi="Times New Roman"/>
          <w:color w:val="1D2228"/>
          <w:sz w:val="22"/>
          <w:szCs w:val="22"/>
          <w:lang w:val="en-US" w:eastAsia="zh-CN"/>
        </w:rPr>
        <w:t>,</w:t>
      </w:r>
      <w:r w:rsidRPr="00D923A9">
        <w:rPr>
          <w:rFonts w:ascii="Times New Roman" w:hAnsi="Times New Roman"/>
          <w:color w:val="1D2228"/>
          <w:sz w:val="22"/>
          <w:szCs w:val="22"/>
          <w:lang w:val="id-ID" w:eastAsia="zh-CN"/>
        </w:rPr>
        <w:t xml:space="preserve"> </w:t>
      </w:r>
      <w:r w:rsidRPr="00D923A9">
        <w:rPr>
          <w:rFonts w:ascii="Times New Roman" w:hAnsi="Times New Roman"/>
          <w:bCs/>
          <w:sz w:val="22"/>
          <w:szCs w:val="22"/>
        </w:rPr>
        <w:t>Islamic Fintech Collaboration: Indonesia's Economic Readiness Towards A New Normal Era</w:t>
      </w:r>
      <w:r>
        <w:rPr>
          <w:rFonts w:ascii="Times New Roman" w:hAnsi="Times New Roman"/>
          <w:bCs/>
          <w:sz w:val="22"/>
          <w:szCs w:val="22"/>
          <w:lang w:val="en-US"/>
        </w:rPr>
        <w:t>,</w:t>
      </w:r>
      <w:r w:rsidRPr="00D923A9">
        <w:rPr>
          <w:rFonts w:ascii="Times New Roman" w:hAnsi="Times New Roman"/>
          <w:bCs/>
          <w:sz w:val="22"/>
          <w:szCs w:val="22"/>
          <w:lang w:val="id-ID"/>
        </w:rPr>
        <w:t xml:space="preserve"> </w:t>
      </w:r>
      <w:r w:rsidRPr="00D923A9">
        <w:rPr>
          <w:rFonts w:ascii="Times New Roman" w:hAnsi="Times New Roman"/>
          <w:i/>
          <w:sz w:val="22"/>
          <w:szCs w:val="22"/>
        </w:rPr>
        <w:t>Proceeding International Seminar on Islamic Studies</w:t>
      </w:r>
      <w:r w:rsidRPr="00D923A9">
        <w:rPr>
          <w:rFonts w:ascii="Times New Roman" w:hAnsi="Times New Roman"/>
          <w:sz w:val="22"/>
          <w:szCs w:val="22"/>
          <w:lang w:val="id-ID"/>
        </w:rPr>
        <w:t xml:space="preserve">, </w:t>
      </w:r>
      <w:r>
        <w:rPr>
          <w:rFonts w:ascii="Times New Roman" w:hAnsi="Times New Roman"/>
          <w:sz w:val="22"/>
          <w:szCs w:val="22"/>
          <w:lang w:val="en-US"/>
        </w:rPr>
        <w:t xml:space="preserve">Vol. </w:t>
      </w:r>
      <w:r w:rsidRPr="00973261">
        <w:rPr>
          <w:rFonts w:ascii="Times New Roman" w:hAnsi="Times New Roman"/>
          <w:iCs/>
          <w:sz w:val="22"/>
          <w:szCs w:val="22"/>
          <w:lang w:val="id-ID"/>
        </w:rPr>
        <w:t>2</w:t>
      </w:r>
      <w:r>
        <w:rPr>
          <w:rFonts w:ascii="Times New Roman" w:hAnsi="Times New Roman"/>
          <w:iCs/>
          <w:sz w:val="22"/>
          <w:szCs w:val="22"/>
          <w:lang w:val="en-US"/>
        </w:rPr>
        <w:t xml:space="preserve">, No. </w:t>
      </w:r>
      <w:r w:rsidRPr="00D923A9">
        <w:rPr>
          <w:rFonts w:ascii="Times New Roman" w:hAnsi="Times New Roman"/>
          <w:sz w:val="22"/>
          <w:szCs w:val="22"/>
          <w:lang w:val="id-ID"/>
        </w:rPr>
        <w:t>1,</w:t>
      </w:r>
      <w:r>
        <w:rPr>
          <w:rFonts w:ascii="Times New Roman" w:hAnsi="Times New Roman"/>
          <w:sz w:val="22"/>
          <w:szCs w:val="22"/>
          <w:lang w:val="en-US"/>
        </w:rPr>
        <w:t xml:space="preserve"> </w:t>
      </w:r>
      <w:r w:rsidRPr="00D923A9">
        <w:rPr>
          <w:rFonts w:ascii="Times New Roman" w:hAnsi="Times New Roman"/>
          <w:color w:val="1D2228"/>
          <w:sz w:val="22"/>
          <w:szCs w:val="22"/>
          <w:lang w:val="id-ID" w:eastAsia="zh-CN"/>
        </w:rPr>
        <w:t>2021</w:t>
      </w:r>
      <w:r>
        <w:rPr>
          <w:rFonts w:ascii="Times New Roman" w:hAnsi="Times New Roman"/>
          <w:color w:val="1D2228"/>
          <w:sz w:val="22"/>
          <w:szCs w:val="22"/>
          <w:lang w:val="en-US" w:eastAsia="zh-CN"/>
        </w:rPr>
        <w:t>, pp.</w:t>
      </w:r>
      <w:r w:rsidRPr="00D923A9">
        <w:rPr>
          <w:rFonts w:ascii="Times New Roman" w:hAnsi="Times New Roman"/>
          <w:sz w:val="22"/>
          <w:szCs w:val="22"/>
          <w:lang w:val="id-ID"/>
        </w:rPr>
        <w:t xml:space="preserve"> 543-554. </w:t>
      </w:r>
      <w:hyperlink w:history="1">
        <w:r w:rsidRPr="00DA111C">
          <w:rPr>
            <w:rStyle w:val="Hyperlink"/>
            <w:rFonts w:ascii="Times New Roman" w:hAnsi="Times New Roman"/>
            <w:sz w:val="22"/>
            <w:szCs w:val="22"/>
            <w:lang w:val="id-ID"/>
          </w:rPr>
          <w:t>http://jurnal.</w:t>
        </w:r>
        <w:r w:rsidRPr="00DA111C">
          <w:rPr>
            <w:rStyle w:val="Hyperlink"/>
            <w:rFonts w:ascii="Times New Roman" w:hAnsi="Times New Roman"/>
            <w:sz w:val="22"/>
            <w:szCs w:val="22"/>
            <w:lang w:val="en-US"/>
          </w:rPr>
          <w:t xml:space="preserve"> </w:t>
        </w:r>
        <w:r w:rsidRPr="00DA111C">
          <w:rPr>
            <w:rStyle w:val="Hyperlink"/>
            <w:rFonts w:ascii="Times New Roman" w:hAnsi="Times New Roman"/>
            <w:sz w:val="22"/>
            <w:szCs w:val="22"/>
            <w:lang w:val="id-ID"/>
          </w:rPr>
          <w:t>umsu.ac.id/index.php/insis/article/download/5859/pdf_198</w:t>
        </w:r>
      </w:hyperlink>
    </w:p>
    <w:p w14:paraId="6977E2F9" w14:textId="7B958C8E" w:rsidR="00973261" w:rsidRP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973261">
        <w:rPr>
          <w:rFonts w:ascii="Times New Roman" w:hAnsi="Times New Roman" w:cs="Times New Roman"/>
          <w:color w:val="000000" w:themeColor="text1"/>
          <w:sz w:val="22"/>
          <w:szCs w:val="22"/>
        </w:rPr>
        <w:t>Nyame</w:t>
      </w:r>
      <w:r w:rsidRPr="00973261">
        <w:rPr>
          <w:rFonts w:ascii="Times New Roman" w:hAnsi="Times New Roman" w:cs="Times New Roman"/>
          <w:color w:val="000000" w:themeColor="text1"/>
          <w:sz w:val="22"/>
          <w:szCs w:val="22"/>
          <w:lang w:val="id-ID"/>
        </w:rPr>
        <w:t>, R.K. and</w:t>
      </w:r>
      <w:r w:rsidRPr="00973261">
        <w:rPr>
          <w:rFonts w:ascii="Times New Roman" w:hAnsi="Times New Roman" w:cs="Times New Roman"/>
          <w:color w:val="000000" w:themeColor="text1"/>
          <w:sz w:val="22"/>
          <w:szCs w:val="22"/>
        </w:rPr>
        <w:t xml:space="preserve"> </w:t>
      </w:r>
      <w:proofErr w:type="spellStart"/>
      <w:r w:rsidRPr="00973261">
        <w:rPr>
          <w:rFonts w:ascii="Times New Roman" w:hAnsi="Times New Roman" w:cs="Times New Roman"/>
          <w:color w:val="000000" w:themeColor="text1"/>
          <w:sz w:val="22"/>
          <w:szCs w:val="22"/>
        </w:rPr>
        <w:t>Nimako</w:t>
      </w:r>
      <w:proofErr w:type="spellEnd"/>
      <w:r w:rsidRPr="00973261">
        <w:rPr>
          <w:rFonts w:ascii="Times New Roman" w:hAnsi="Times New Roman" w:cs="Times New Roman"/>
          <w:color w:val="000000" w:themeColor="text1"/>
          <w:sz w:val="22"/>
          <w:szCs w:val="22"/>
          <w:lang w:val="id-ID"/>
        </w:rPr>
        <w:t xml:space="preserve"> S.G</w:t>
      </w:r>
      <w:r w:rsidRPr="0097326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Pr="00973261">
        <w:rPr>
          <w:rFonts w:ascii="Times New Roman" w:hAnsi="Times New Roman" w:cs="Times New Roman"/>
          <w:color w:val="000000" w:themeColor="text1"/>
          <w:sz w:val="22"/>
          <w:szCs w:val="22"/>
        </w:rPr>
        <w:t xml:space="preserve"> Influence of Demography, Religiosity and Porting Behaviour on Switching Behaviour of Mobile Subscribers: Evidence from A Developing Country</w:t>
      </w:r>
      <w:r>
        <w:rPr>
          <w:rFonts w:ascii="Times New Roman" w:hAnsi="Times New Roman" w:cs="Times New Roman"/>
          <w:color w:val="000000" w:themeColor="text1"/>
          <w:sz w:val="22"/>
          <w:szCs w:val="22"/>
        </w:rPr>
        <w:t>,</w:t>
      </w:r>
      <w:r w:rsidRPr="00973261">
        <w:rPr>
          <w:rFonts w:ascii="Times New Roman" w:hAnsi="Times New Roman" w:cs="Times New Roman"/>
          <w:color w:val="000000" w:themeColor="text1"/>
          <w:sz w:val="22"/>
          <w:szCs w:val="22"/>
        </w:rPr>
        <w:t xml:space="preserve"> </w:t>
      </w:r>
      <w:r w:rsidRPr="00973261">
        <w:rPr>
          <w:rFonts w:ascii="Times New Roman" w:hAnsi="Times New Roman" w:cs="Times New Roman"/>
          <w:i/>
          <w:iCs/>
          <w:color w:val="000000" w:themeColor="text1"/>
          <w:sz w:val="22"/>
          <w:szCs w:val="22"/>
        </w:rPr>
        <w:t>International Journal of Business and Management</w:t>
      </w:r>
      <w:r w:rsidRPr="0097326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Vol. </w:t>
      </w:r>
      <w:r w:rsidRPr="00973261">
        <w:rPr>
          <w:rFonts w:ascii="Times New Roman" w:hAnsi="Times New Roman" w:cs="Times New Roman"/>
          <w:color w:val="000000" w:themeColor="text1"/>
          <w:sz w:val="22"/>
          <w:szCs w:val="22"/>
        </w:rPr>
        <w:t>10</w:t>
      </w:r>
      <w:r>
        <w:rPr>
          <w:rFonts w:ascii="Times New Roman" w:hAnsi="Times New Roman" w:cs="Times New Roman"/>
          <w:color w:val="000000" w:themeColor="text1"/>
          <w:sz w:val="22"/>
          <w:szCs w:val="22"/>
        </w:rPr>
        <w:t xml:space="preserve">, No. </w:t>
      </w:r>
      <w:r w:rsidRPr="00973261">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lang w:val="en-US"/>
        </w:rPr>
        <w:t xml:space="preserve">, </w:t>
      </w:r>
      <w:r w:rsidRPr="00973261">
        <w:rPr>
          <w:rFonts w:ascii="Times New Roman" w:hAnsi="Times New Roman" w:cs="Times New Roman"/>
          <w:color w:val="000000" w:themeColor="text1"/>
          <w:sz w:val="22"/>
          <w:szCs w:val="22"/>
        </w:rPr>
        <w:t>2015.</w:t>
      </w:r>
      <w:r w:rsidRPr="00973261">
        <w:rPr>
          <w:rFonts w:ascii="Times New Roman" w:hAnsi="Times New Roman" w:cs="Times New Roman"/>
          <w:color w:val="000000" w:themeColor="text1"/>
          <w:sz w:val="22"/>
          <w:szCs w:val="22"/>
          <w:lang w:val="id-ID"/>
        </w:rPr>
        <w:t xml:space="preserve"> </w:t>
      </w:r>
      <w:hyperlink r:id="rId12" w:history="1">
        <w:r w:rsidRPr="00973261">
          <w:rPr>
            <w:rStyle w:val="Hyperlink"/>
            <w:rFonts w:ascii="Times New Roman" w:hAnsi="Times New Roman"/>
            <w:sz w:val="22"/>
            <w:szCs w:val="22"/>
          </w:rPr>
          <w:t>https://doi.org/10.5539/ ijbm.v10n7p158</w:t>
        </w:r>
      </w:hyperlink>
      <w:r w:rsidRPr="00973261">
        <w:rPr>
          <w:rFonts w:ascii="Times New Roman" w:hAnsi="Times New Roman" w:cs="Times New Roman"/>
          <w:color w:val="000000" w:themeColor="text1"/>
          <w:sz w:val="22"/>
          <w:szCs w:val="22"/>
          <w:lang w:val="id-ID"/>
        </w:rPr>
        <w:t xml:space="preserve"> </w:t>
      </w:r>
    </w:p>
    <w:p w14:paraId="5FE05909" w14:textId="77777777" w:rsidR="00973261" w:rsidRP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 xml:space="preserve">Clemes, </w:t>
      </w:r>
      <w:r w:rsidRPr="00D923A9">
        <w:rPr>
          <w:rFonts w:ascii="Times New Roman" w:hAnsi="Times New Roman"/>
          <w:i/>
          <w:color w:val="000000" w:themeColor="text1"/>
          <w:sz w:val="22"/>
          <w:szCs w:val="22"/>
          <w:lang w:val="id-ID"/>
        </w:rPr>
        <w:t>et al</w:t>
      </w:r>
      <w:r w:rsidRPr="00D923A9">
        <w:rPr>
          <w:rFonts w:ascii="Times New Roman" w:hAnsi="Times New Roman"/>
          <w:color w:val="000000" w:themeColor="text1"/>
          <w:sz w:val="22"/>
          <w:szCs w:val="22"/>
          <w:lang w:val="id-ID"/>
        </w:rPr>
        <w:t>., Costumer Switching Behavior in The New Zealand Banking Industry</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color w:val="000000" w:themeColor="text1"/>
          <w:sz w:val="22"/>
          <w:szCs w:val="22"/>
          <w:lang w:val="id-ID"/>
        </w:rPr>
        <w:t>Banks and Bank Systems</w:t>
      </w:r>
      <w:r w:rsidRPr="00D923A9">
        <w:rPr>
          <w:rFonts w:ascii="Times New Roman" w:hAnsi="Times New Roman"/>
          <w:color w:val="000000" w:themeColor="text1"/>
          <w:sz w:val="22"/>
          <w:szCs w:val="22"/>
          <w:lang w:val="id-ID"/>
        </w:rPr>
        <w:t xml:space="preserve">, </w:t>
      </w:r>
      <w:r>
        <w:rPr>
          <w:rFonts w:ascii="Times New Roman" w:hAnsi="Times New Roman"/>
          <w:color w:val="000000" w:themeColor="text1"/>
          <w:sz w:val="22"/>
          <w:szCs w:val="22"/>
          <w:lang w:val="en-US"/>
        </w:rPr>
        <w:t xml:space="preserve">Vol. </w:t>
      </w:r>
      <w:r w:rsidRPr="00973261">
        <w:rPr>
          <w:rFonts w:ascii="Times New Roman" w:hAnsi="Times New Roman"/>
          <w:iCs/>
          <w:color w:val="000000" w:themeColor="text1"/>
          <w:sz w:val="22"/>
          <w:szCs w:val="22"/>
          <w:lang w:val="id-ID"/>
        </w:rPr>
        <w:t>2</w:t>
      </w:r>
      <w:r>
        <w:rPr>
          <w:rFonts w:ascii="Times New Roman" w:hAnsi="Times New Roman"/>
          <w:iCs/>
          <w:color w:val="000000" w:themeColor="text1"/>
          <w:sz w:val="22"/>
          <w:szCs w:val="22"/>
          <w:lang w:val="en-US"/>
        </w:rPr>
        <w:t xml:space="preserve">, No. </w:t>
      </w:r>
      <w:r w:rsidRPr="00D923A9">
        <w:rPr>
          <w:rFonts w:ascii="Times New Roman" w:hAnsi="Times New Roman"/>
          <w:color w:val="000000" w:themeColor="text1"/>
          <w:sz w:val="22"/>
          <w:szCs w:val="22"/>
          <w:lang w:val="id-ID"/>
        </w:rPr>
        <w:t>4,</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2007</w:t>
      </w:r>
      <w:r>
        <w:rPr>
          <w:rFonts w:ascii="Times New Roman" w:hAnsi="Times New Roman"/>
          <w:color w:val="000000" w:themeColor="text1"/>
          <w:sz w:val="22"/>
          <w:szCs w:val="22"/>
          <w:lang w:val="en-US"/>
        </w:rPr>
        <w:t>, pp.</w:t>
      </w:r>
      <w:r w:rsidRPr="00D923A9">
        <w:rPr>
          <w:rFonts w:ascii="Times New Roman" w:hAnsi="Times New Roman"/>
          <w:color w:val="000000" w:themeColor="text1"/>
          <w:sz w:val="22"/>
          <w:szCs w:val="22"/>
          <w:lang w:val="id-ID"/>
        </w:rPr>
        <w:t xml:space="preserve"> 50 - 65. </w:t>
      </w:r>
      <w:r w:rsidRPr="00D923A9">
        <w:rPr>
          <w:rFonts w:ascii="Times New Roman" w:hAnsi="Times New Roman"/>
          <w:color w:val="000000" w:themeColor="text1"/>
          <w:sz w:val="22"/>
          <w:szCs w:val="22"/>
          <w:lang w:val="id-ID"/>
        </w:rPr>
        <w:fldChar w:fldCharType="begin"/>
      </w:r>
      <w:r w:rsidRPr="00D923A9">
        <w:rPr>
          <w:rFonts w:ascii="Times New Roman" w:hAnsi="Times New Roman"/>
          <w:color w:val="000000" w:themeColor="text1"/>
          <w:sz w:val="22"/>
          <w:szCs w:val="22"/>
          <w:lang w:val="id-ID"/>
        </w:rPr>
        <w:instrText xml:space="preserve"> HYPERLINK "https://businessperspectives.org/images/pdf /applications/publishing/templates/article/assets/2007/BBS_en_2007_4_Clemes.pdf" </w:instrText>
      </w:r>
      <w:r w:rsidRPr="00D923A9">
        <w:rPr>
          <w:rFonts w:ascii="Times New Roman" w:hAnsi="Times New Roman"/>
          <w:color w:val="000000" w:themeColor="text1"/>
          <w:sz w:val="22"/>
          <w:szCs w:val="22"/>
          <w:lang w:val="id-ID"/>
        </w:rPr>
        <w:fldChar w:fldCharType="separate"/>
      </w:r>
      <w:r w:rsidRPr="00D923A9">
        <w:rPr>
          <w:rStyle w:val="Hyperlink"/>
          <w:rFonts w:ascii="Times New Roman" w:hAnsi="Times New Roman"/>
          <w:sz w:val="22"/>
          <w:szCs w:val="22"/>
        </w:rPr>
        <w:t>https://businessperspectives.org/images/pdf /applications/publishing/templates/article/assets/2007/BBS_en_2007_4_Clemes.pdf</w:t>
      </w:r>
      <w:r w:rsidRPr="00D923A9">
        <w:rPr>
          <w:rFonts w:ascii="Times New Roman" w:hAnsi="Times New Roman"/>
          <w:color w:val="000000" w:themeColor="text1"/>
          <w:sz w:val="22"/>
          <w:szCs w:val="22"/>
          <w:lang w:val="id-ID"/>
        </w:rPr>
        <w:fldChar w:fldCharType="end"/>
      </w:r>
    </w:p>
    <w:p w14:paraId="7E4AFD0E" w14:textId="315E21F1" w:rsidR="00973261" w:rsidRP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973261">
        <w:rPr>
          <w:rFonts w:ascii="Times New Roman" w:hAnsi="Times New Roman" w:cs="Times New Roman"/>
          <w:color w:val="000000" w:themeColor="text1"/>
          <w:sz w:val="22"/>
          <w:szCs w:val="22"/>
        </w:rPr>
        <w:t>Mangkunegara</w:t>
      </w:r>
      <w:proofErr w:type="spellEnd"/>
      <w:r w:rsidRPr="00973261">
        <w:rPr>
          <w:rFonts w:ascii="Times New Roman" w:hAnsi="Times New Roman" w:cs="Times New Roman"/>
          <w:color w:val="000000" w:themeColor="text1"/>
          <w:sz w:val="22"/>
          <w:szCs w:val="22"/>
        </w:rPr>
        <w:t>, A</w:t>
      </w:r>
      <w:r w:rsidRPr="00973261">
        <w:rPr>
          <w:rFonts w:ascii="Times New Roman" w:hAnsi="Times New Roman" w:cs="Times New Roman"/>
          <w:color w:val="000000" w:themeColor="text1"/>
          <w:sz w:val="22"/>
          <w:szCs w:val="22"/>
          <w:lang w:val="id-ID"/>
        </w:rPr>
        <w:t>.</w:t>
      </w:r>
      <w:r w:rsidRPr="00973261">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 xml:space="preserve">, </w:t>
      </w:r>
      <w:r w:rsidRPr="00973261">
        <w:rPr>
          <w:rFonts w:ascii="Times New Roman" w:hAnsi="Times New Roman" w:cs="Times New Roman"/>
          <w:i/>
          <w:iCs/>
          <w:color w:val="000000" w:themeColor="text1"/>
          <w:sz w:val="22"/>
          <w:szCs w:val="22"/>
        </w:rPr>
        <w:t xml:space="preserve">Consumer </w:t>
      </w:r>
      <w:r w:rsidRPr="00973261">
        <w:rPr>
          <w:rFonts w:ascii="Times New Roman" w:hAnsi="Times New Roman" w:cs="Times New Roman"/>
          <w:i/>
          <w:iCs/>
          <w:color w:val="000000" w:themeColor="text1"/>
          <w:sz w:val="22"/>
          <w:szCs w:val="22"/>
          <w:lang w:val="id-ID"/>
        </w:rPr>
        <w:t>B</w:t>
      </w:r>
      <w:proofErr w:type="spellStart"/>
      <w:r w:rsidRPr="00973261">
        <w:rPr>
          <w:rFonts w:ascii="Times New Roman" w:hAnsi="Times New Roman" w:cs="Times New Roman"/>
          <w:i/>
          <w:iCs/>
          <w:color w:val="000000" w:themeColor="text1"/>
          <w:sz w:val="22"/>
          <w:szCs w:val="22"/>
        </w:rPr>
        <w:t>ehavior</w:t>
      </w:r>
      <w:proofErr w:type="spellEnd"/>
      <w:r>
        <w:rPr>
          <w:rFonts w:ascii="Times New Roman" w:hAnsi="Times New Roman" w:cs="Times New Roman"/>
          <w:color w:val="000000" w:themeColor="text1"/>
          <w:sz w:val="22"/>
          <w:szCs w:val="22"/>
        </w:rPr>
        <w:t xml:space="preserve">, </w:t>
      </w:r>
      <w:r w:rsidRPr="00973261">
        <w:rPr>
          <w:rFonts w:ascii="Times New Roman" w:hAnsi="Times New Roman" w:cs="Times New Roman"/>
          <w:color w:val="000000" w:themeColor="text1"/>
          <w:sz w:val="22"/>
          <w:szCs w:val="22"/>
        </w:rPr>
        <w:t xml:space="preserve">Bandung: PT </w:t>
      </w:r>
      <w:proofErr w:type="spellStart"/>
      <w:r w:rsidRPr="00973261">
        <w:rPr>
          <w:rFonts w:ascii="Times New Roman" w:hAnsi="Times New Roman" w:cs="Times New Roman"/>
          <w:color w:val="000000" w:themeColor="text1"/>
          <w:sz w:val="22"/>
          <w:szCs w:val="22"/>
        </w:rPr>
        <w:t>Rafika</w:t>
      </w:r>
      <w:proofErr w:type="spellEnd"/>
      <w:r w:rsidRPr="00973261">
        <w:rPr>
          <w:rFonts w:ascii="Times New Roman" w:hAnsi="Times New Roman" w:cs="Times New Roman"/>
          <w:color w:val="000000" w:themeColor="text1"/>
          <w:sz w:val="22"/>
          <w:szCs w:val="22"/>
        </w:rPr>
        <w:t xml:space="preserve"> </w:t>
      </w:r>
      <w:proofErr w:type="spellStart"/>
      <w:r w:rsidRPr="00973261">
        <w:rPr>
          <w:rFonts w:ascii="Times New Roman" w:hAnsi="Times New Roman" w:cs="Times New Roman"/>
          <w:color w:val="000000" w:themeColor="text1"/>
          <w:sz w:val="22"/>
          <w:szCs w:val="22"/>
        </w:rPr>
        <w:t>Aditama</w:t>
      </w:r>
      <w:proofErr w:type="spellEnd"/>
      <w:r>
        <w:rPr>
          <w:rFonts w:ascii="Times New Roman" w:hAnsi="Times New Roman" w:cs="Times New Roman"/>
          <w:color w:val="000000" w:themeColor="text1"/>
          <w:sz w:val="22"/>
          <w:szCs w:val="22"/>
        </w:rPr>
        <w:t xml:space="preserve">, </w:t>
      </w:r>
      <w:r w:rsidRPr="00973261">
        <w:rPr>
          <w:rFonts w:ascii="Times New Roman" w:hAnsi="Times New Roman" w:cs="Times New Roman"/>
          <w:color w:val="000000" w:themeColor="text1"/>
          <w:sz w:val="22"/>
          <w:szCs w:val="22"/>
        </w:rPr>
        <w:t>2002.</w:t>
      </w:r>
    </w:p>
    <w:p w14:paraId="47BED054" w14:textId="77612D1A" w:rsidR="00973261" w:rsidRDefault="00973261"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Louis</w:t>
      </w:r>
      <w:r w:rsidRPr="00D923A9">
        <w:rPr>
          <w:rFonts w:ascii="Times New Roman" w:hAnsi="Times New Roman"/>
          <w:color w:val="000000" w:themeColor="text1"/>
          <w:sz w:val="22"/>
          <w:szCs w:val="22"/>
          <w:lang w:val="id-ID"/>
        </w:rPr>
        <w:t>, W.R.,</w:t>
      </w:r>
      <w:r w:rsidRPr="00D923A9">
        <w:rPr>
          <w:rFonts w:ascii="Times New Roman" w:hAnsi="Times New Roman"/>
          <w:color w:val="000000" w:themeColor="text1"/>
          <w:sz w:val="22"/>
          <w:szCs w:val="22"/>
        </w:rPr>
        <w:t xml:space="preserve"> Taylor</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D.M. and Neil</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T.,</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Cost-benefit analyses for your group and yourself: The rationality of decision-making in conflict</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iCs/>
          <w:color w:val="000000" w:themeColor="text1"/>
          <w:sz w:val="22"/>
          <w:szCs w:val="22"/>
        </w:rPr>
        <w:t>International Journal of Conflict Management</w:t>
      </w:r>
      <w:r w:rsidRPr="00D923A9">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Vol. </w:t>
      </w:r>
      <w:r w:rsidRPr="00D923A9">
        <w:rPr>
          <w:rFonts w:ascii="Times New Roman" w:hAnsi="Times New Roman"/>
          <w:color w:val="000000" w:themeColor="text1"/>
          <w:sz w:val="22"/>
          <w:szCs w:val="22"/>
        </w:rPr>
        <w:t>15</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2,</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lang w:val="id-ID"/>
        </w:rPr>
        <w:t>2004</w:t>
      </w:r>
      <w:r>
        <w:rPr>
          <w:rFonts w:ascii="Times New Roman" w:hAnsi="Times New Roman"/>
          <w:color w:val="000000" w:themeColor="text1"/>
          <w:sz w:val="22"/>
          <w:szCs w:val="22"/>
          <w:lang w:val="en-US"/>
        </w:rPr>
        <w:t>, pp.</w:t>
      </w:r>
      <w:r w:rsidRPr="00D923A9">
        <w:rPr>
          <w:rFonts w:ascii="Times New Roman" w:hAnsi="Times New Roman"/>
          <w:color w:val="000000" w:themeColor="text1"/>
          <w:sz w:val="22"/>
          <w:szCs w:val="22"/>
        </w:rPr>
        <w:t xml:space="preserve"> 110–143.</w:t>
      </w:r>
      <w:r w:rsidRPr="00D923A9">
        <w:rPr>
          <w:rFonts w:ascii="Times New Roman" w:hAnsi="Times New Roman"/>
          <w:color w:val="000000" w:themeColor="text1"/>
          <w:sz w:val="22"/>
          <w:szCs w:val="22"/>
          <w:lang w:val="id-ID"/>
        </w:rPr>
        <w:t xml:space="preserve"> </w:t>
      </w:r>
      <w:hyperlink r:id="rId13" w:history="1">
        <w:r w:rsidR="004F572F" w:rsidRPr="00DA111C">
          <w:rPr>
            <w:rStyle w:val="Hyperlink"/>
            <w:rFonts w:ascii="Times New Roman" w:hAnsi="Times New Roman"/>
            <w:sz w:val="22"/>
            <w:szCs w:val="22"/>
          </w:rPr>
          <w:t>https://doi.org/10.1108/eb022909</w:t>
        </w:r>
      </w:hyperlink>
    </w:p>
    <w:p w14:paraId="660C4384" w14:textId="0BF7E31A" w:rsidR="004F572F" w:rsidRP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Keaveney</w:t>
      </w:r>
      <w:proofErr w:type="spellEnd"/>
      <w:r w:rsidRPr="00D923A9">
        <w:rPr>
          <w:rFonts w:ascii="Times New Roman" w:hAnsi="Times New Roman"/>
          <w:color w:val="000000" w:themeColor="text1"/>
          <w:sz w:val="22"/>
          <w:szCs w:val="22"/>
        </w:rPr>
        <w:t>, S.M., &amp; Parthasarathy, M.</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Customer switching </w:t>
      </w:r>
      <w:proofErr w:type="spellStart"/>
      <w:r w:rsidRPr="00D923A9">
        <w:rPr>
          <w:rFonts w:ascii="Times New Roman" w:hAnsi="Times New Roman"/>
          <w:color w:val="000000" w:themeColor="text1"/>
          <w:sz w:val="22"/>
          <w:szCs w:val="22"/>
        </w:rPr>
        <w:t>behavior</w:t>
      </w:r>
      <w:proofErr w:type="spellEnd"/>
      <w:r w:rsidRPr="00D923A9">
        <w:rPr>
          <w:rFonts w:ascii="Times New Roman" w:hAnsi="Times New Roman"/>
          <w:color w:val="000000" w:themeColor="text1"/>
          <w:sz w:val="22"/>
          <w:szCs w:val="22"/>
        </w:rPr>
        <w:t xml:space="preserve"> in online services: an exploratory</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 xml:space="preserve">study of the role of selected attitudinal, </w:t>
      </w:r>
      <w:proofErr w:type="spellStart"/>
      <w:r w:rsidRPr="00D923A9">
        <w:rPr>
          <w:rFonts w:ascii="Times New Roman" w:hAnsi="Times New Roman"/>
          <w:color w:val="000000" w:themeColor="text1"/>
          <w:sz w:val="22"/>
          <w:szCs w:val="22"/>
        </w:rPr>
        <w:t>behavioral</w:t>
      </w:r>
      <w:proofErr w:type="spellEnd"/>
      <w:r w:rsidRPr="00D923A9">
        <w:rPr>
          <w:rFonts w:ascii="Times New Roman" w:hAnsi="Times New Roman"/>
          <w:color w:val="000000" w:themeColor="text1"/>
          <w:sz w:val="22"/>
          <w:szCs w:val="22"/>
        </w:rPr>
        <w:t>, and demographic factors</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 xml:space="preserve">Journal of the Academy </w:t>
      </w:r>
      <w:r w:rsidRPr="00D923A9">
        <w:rPr>
          <w:rFonts w:ascii="Times New Roman" w:hAnsi="Times New Roman"/>
          <w:i/>
          <w:iCs/>
          <w:color w:val="000000" w:themeColor="text1"/>
          <w:sz w:val="22"/>
          <w:szCs w:val="22"/>
        </w:rPr>
        <w:t>of</w:t>
      </w:r>
      <w:r w:rsidRPr="00D923A9">
        <w:rPr>
          <w:rFonts w:ascii="Times New Roman" w:hAnsi="Times New Roman"/>
          <w:i/>
          <w:iCs/>
          <w:color w:val="000000" w:themeColor="text1"/>
          <w:sz w:val="22"/>
          <w:szCs w:val="22"/>
          <w:lang w:val="id-ID"/>
        </w:rPr>
        <w:t xml:space="preserve"> </w:t>
      </w:r>
      <w:r w:rsidRPr="00D923A9">
        <w:rPr>
          <w:rFonts w:ascii="Times New Roman" w:hAnsi="Times New Roman"/>
          <w:i/>
          <w:iCs/>
          <w:color w:val="000000" w:themeColor="text1"/>
          <w:sz w:val="22"/>
          <w:szCs w:val="22"/>
        </w:rPr>
        <w:t>Marketing Science</w:t>
      </w:r>
      <w:r w:rsidRPr="00D923A9">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Vol. </w:t>
      </w:r>
      <w:r w:rsidRPr="004F572F">
        <w:rPr>
          <w:rFonts w:ascii="Times New Roman" w:hAnsi="Times New Roman"/>
          <w:color w:val="000000" w:themeColor="text1"/>
          <w:sz w:val="22"/>
          <w:szCs w:val="22"/>
        </w:rPr>
        <w:t>29</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4,</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2001</w:t>
      </w:r>
      <w:r>
        <w:rPr>
          <w:rFonts w:ascii="Times New Roman" w:hAnsi="Times New Roman"/>
          <w:color w:val="000000" w:themeColor="text1"/>
          <w:sz w:val="22"/>
          <w:szCs w:val="22"/>
        </w:rPr>
        <w:t>, pp.</w:t>
      </w:r>
      <w:r w:rsidRPr="00D923A9">
        <w:rPr>
          <w:rFonts w:ascii="Times New Roman" w:hAnsi="Times New Roman"/>
          <w:color w:val="000000" w:themeColor="text1"/>
          <w:sz w:val="22"/>
          <w:szCs w:val="22"/>
        </w:rPr>
        <w:t xml:space="preserve"> 374-390.</w:t>
      </w:r>
      <w:r>
        <w:rPr>
          <w:rFonts w:ascii="Times New Roman" w:hAnsi="Times New Roman"/>
          <w:color w:val="000000" w:themeColor="text1"/>
          <w:sz w:val="22"/>
          <w:szCs w:val="22"/>
          <w:lang w:val="en-US"/>
        </w:rPr>
        <w:t xml:space="preserve"> </w:t>
      </w:r>
      <w:hyperlink r:id="rId14" w:history="1">
        <w:r w:rsidRPr="00DA111C">
          <w:rPr>
            <w:rStyle w:val="Hyperlink"/>
            <w:rFonts w:ascii="Times New Roman" w:hAnsi="Times New Roman"/>
            <w:sz w:val="22"/>
            <w:szCs w:val="22"/>
            <w:shd w:val="clear" w:color="auto" w:fill="FCFCFC"/>
          </w:rPr>
          <w:t>https://doi.org/10.1177/03079450094 225</w:t>
        </w:r>
      </w:hyperlink>
    </w:p>
    <w:p w14:paraId="3FD0056E" w14:textId="369CB476" w:rsid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Nimako</w:t>
      </w:r>
      <w:proofErr w:type="spellEnd"/>
      <w:r w:rsidRPr="00D923A9">
        <w:rPr>
          <w:rFonts w:ascii="Times New Roman" w:hAnsi="Times New Roman"/>
          <w:color w:val="000000" w:themeColor="text1"/>
          <w:sz w:val="22"/>
          <w:szCs w:val="22"/>
        </w:rPr>
        <w:t>, S</w:t>
      </w:r>
      <w:r w:rsidRPr="00D923A9">
        <w:rPr>
          <w:rFonts w:ascii="Times New Roman" w:hAnsi="Times New Roman"/>
          <w:color w:val="000000" w:themeColor="text1"/>
          <w:sz w:val="22"/>
          <w:szCs w:val="22"/>
          <w:lang w:val="id-ID"/>
        </w:rPr>
        <w:t>.</w:t>
      </w:r>
      <w:r w:rsidRPr="00D923A9">
        <w:rPr>
          <w:rFonts w:ascii="Times New Roman" w:hAnsi="Times New Roman"/>
          <w:color w:val="000000" w:themeColor="text1"/>
          <w:sz w:val="22"/>
          <w:szCs w:val="22"/>
        </w:rPr>
        <w:t>G</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Consumer Switching Behaviour: A Theoretical </w:t>
      </w:r>
      <w:proofErr w:type="spellStart"/>
      <w:r w:rsidRPr="00D923A9">
        <w:rPr>
          <w:rFonts w:ascii="Times New Roman" w:hAnsi="Times New Roman"/>
          <w:color w:val="000000" w:themeColor="text1"/>
          <w:sz w:val="22"/>
          <w:szCs w:val="22"/>
        </w:rPr>
        <w:t>Reviewand</w:t>
      </w:r>
      <w:proofErr w:type="spellEnd"/>
      <w:r w:rsidRPr="00D923A9">
        <w:rPr>
          <w:rFonts w:ascii="Times New Roman" w:hAnsi="Times New Roman"/>
          <w:color w:val="000000" w:themeColor="text1"/>
          <w:sz w:val="22"/>
          <w:szCs w:val="22"/>
        </w:rPr>
        <w:t xml:space="preserve"> Research Agenda</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Research Journal of Social Science &amp; Management</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lang w:val="en-US"/>
        </w:rPr>
        <w:t xml:space="preserve"> Vol.</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02</w:t>
      </w:r>
      <w:r>
        <w:rPr>
          <w:rFonts w:ascii="Times New Roman" w:hAnsi="Times New Roman"/>
          <w:color w:val="000000" w:themeColor="text1"/>
          <w:sz w:val="22"/>
          <w:szCs w:val="22"/>
          <w:lang w:val="en-US"/>
        </w:rPr>
        <w:t xml:space="preserve">, No. </w:t>
      </w:r>
      <w:r w:rsidRPr="00D923A9">
        <w:rPr>
          <w:rFonts w:ascii="Times New Roman" w:hAnsi="Times New Roman"/>
          <w:color w:val="000000" w:themeColor="text1"/>
          <w:sz w:val="22"/>
          <w:szCs w:val="22"/>
        </w:rPr>
        <w:t>03</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rPr>
        <w:t>2012.</w:t>
      </w:r>
      <w:r w:rsidRPr="00D923A9">
        <w:rPr>
          <w:rFonts w:ascii="Times New Roman" w:hAnsi="Times New Roman"/>
          <w:color w:val="000000" w:themeColor="text1"/>
          <w:sz w:val="22"/>
          <w:szCs w:val="22"/>
          <w:lang w:val="id-ID"/>
        </w:rPr>
        <w:t xml:space="preserve"> </w:t>
      </w:r>
      <w:hyperlink r:id="rId15" w:history="1">
        <w:r w:rsidRPr="00DA111C">
          <w:rPr>
            <w:rStyle w:val="Hyperlink"/>
            <w:rFonts w:ascii="Times New Roman" w:hAnsi="Times New Roman"/>
            <w:sz w:val="22"/>
            <w:szCs w:val="22"/>
          </w:rPr>
          <w:t>https://citeseerx.ist.psu.edu/viewdoc/download?doi=10.1.1.868.4373&amp;rep=rep1&amp;type=pdf</w:t>
        </w:r>
      </w:hyperlink>
    </w:p>
    <w:p w14:paraId="34C3EA29" w14:textId="32A2AD58" w:rsid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Roos</w:t>
      </w:r>
      <w:proofErr w:type="spellEnd"/>
      <w:r w:rsidRPr="00D923A9">
        <w:rPr>
          <w:rFonts w:ascii="Times New Roman" w:hAnsi="Times New Roman"/>
          <w:color w:val="000000" w:themeColor="text1"/>
          <w:sz w:val="22"/>
          <w:szCs w:val="22"/>
          <w:lang w:val="id-ID"/>
        </w:rPr>
        <w:t>, I</w:t>
      </w:r>
      <w:r w:rsidRPr="00D923A9">
        <w:rPr>
          <w:rFonts w:ascii="Times New Roman" w:hAnsi="Times New Roman"/>
          <w:color w:val="000000" w:themeColor="text1"/>
          <w:sz w:val="22"/>
          <w:szCs w:val="22"/>
        </w:rPr>
        <w:t xml:space="preserve">., </w:t>
      </w:r>
      <w:proofErr w:type="spellStart"/>
      <w:r w:rsidRPr="00D923A9">
        <w:rPr>
          <w:rFonts w:ascii="Times New Roman" w:hAnsi="Times New Roman"/>
          <w:color w:val="000000" w:themeColor="text1"/>
          <w:sz w:val="22"/>
          <w:szCs w:val="22"/>
        </w:rPr>
        <w:t>Edvardsson</w:t>
      </w:r>
      <w:proofErr w:type="spellEnd"/>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B. and Gustafsson</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A.</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rPr>
        <w:t xml:space="preserve"> Customer, Switching Patterns in Competitive and </w:t>
      </w:r>
      <w:proofErr w:type="spellStart"/>
      <w:r w:rsidRPr="00D923A9">
        <w:rPr>
          <w:rFonts w:ascii="Times New Roman" w:hAnsi="Times New Roman"/>
          <w:color w:val="000000" w:themeColor="text1"/>
          <w:sz w:val="22"/>
          <w:szCs w:val="22"/>
        </w:rPr>
        <w:t>Noncompetitive</w:t>
      </w:r>
      <w:proofErr w:type="spellEnd"/>
      <w:r w:rsidRPr="00D923A9">
        <w:rPr>
          <w:rFonts w:ascii="Times New Roman" w:hAnsi="Times New Roman"/>
          <w:color w:val="000000" w:themeColor="text1"/>
          <w:sz w:val="22"/>
          <w:szCs w:val="22"/>
        </w:rPr>
        <w:t xml:space="preserve"> Service Industries</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iCs/>
          <w:color w:val="000000" w:themeColor="text1"/>
          <w:sz w:val="22"/>
          <w:szCs w:val="22"/>
        </w:rPr>
        <w:t>Journal of Service Research</w:t>
      </w:r>
      <w:r w:rsidRPr="00D923A9">
        <w:rPr>
          <w:rFonts w:ascii="Times New Roman" w:hAnsi="Times New Roman"/>
          <w:color w:val="000000" w:themeColor="text1"/>
          <w:sz w:val="22"/>
          <w:szCs w:val="22"/>
          <w:lang w:val="id-ID"/>
        </w:rPr>
        <w:t xml:space="preserve">, </w:t>
      </w:r>
      <w:r>
        <w:rPr>
          <w:rFonts w:ascii="Times New Roman" w:hAnsi="Times New Roman"/>
          <w:color w:val="000000" w:themeColor="text1"/>
          <w:sz w:val="22"/>
          <w:szCs w:val="22"/>
          <w:lang w:val="en-US"/>
        </w:rPr>
        <w:t xml:space="preserve">Vol. </w:t>
      </w:r>
      <w:r w:rsidRPr="00D923A9">
        <w:rPr>
          <w:rFonts w:ascii="Times New Roman" w:hAnsi="Times New Roman"/>
          <w:color w:val="000000" w:themeColor="text1"/>
          <w:sz w:val="22"/>
          <w:szCs w:val="22"/>
        </w:rPr>
        <w:t>6</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256</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2004</w:t>
      </w:r>
      <w:r>
        <w:rPr>
          <w:rFonts w:ascii="Times New Roman" w:hAnsi="Times New Roman"/>
          <w:color w:val="000000" w:themeColor="text1"/>
          <w:sz w:val="22"/>
          <w:szCs w:val="22"/>
          <w:lang w:val="en-US"/>
        </w:rPr>
        <w:t>, pp.</w:t>
      </w:r>
      <w:r w:rsidRPr="00D923A9">
        <w:rPr>
          <w:rFonts w:ascii="Times New Roman" w:hAnsi="Times New Roman"/>
          <w:color w:val="000000" w:themeColor="text1"/>
          <w:sz w:val="22"/>
          <w:szCs w:val="22"/>
        </w:rPr>
        <w:t xml:space="preserve"> 256-271.</w:t>
      </w:r>
      <w:r>
        <w:rPr>
          <w:rFonts w:ascii="Times New Roman" w:hAnsi="Times New Roman"/>
          <w:color w:val="000000" w:themeColor="text1"/>
          <w:sz w:val="22"/>
          <w:szCs w:val="22"/>
          <w:lang w:val="en-US"/>
        </w:rPr>
        <w:t xml:space="preserve"> </w:t>
      </w:r>
      <w:hyperlink r:id="rId16" w:history="1">
        <w:r w:rsidRPr="00DA111C">
          <w:rPr>
            <w:rStyle w:val="Hyperlink"/>
            <w:rFonts w:ascii="Times New Roman" w:hAnsi="Times New Roman"/>
            <w:sz w:val="22"/>
            <w:szCs w:val="22"/>
          </w:rPr>
          <w:t>https://doi.org/10.1177%2F10946705 03255850</w:t>
        </w:r>
      </w:hyperlink>
    </w:p>
    <w:p w14:paraId="25E0CDFB" w14:textId="771A5CAE" w:rsidR="004F572F" w:rsidRP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Suranto</w:t>
      </w:r>
      <w:proofErr w:type="spellEnd"/>
      <w:r w:rsidRPr="00D923A9">
        <w:rPr>
          <w:rFonts w:ascii="Times New Roman" w:hAnsi="Times New Roman"/>
          <w:color w:val="000000" w:themeColor="text1"/>
          <w:sz w:val="22"/>
          <w:szCs w:val="22"/>
          <w:lang w:val="id-ID"/>
        </w:rPr>
        <w:t>, B.</w:t>
      </w:r>
      <w:r w:rsidRPr="00D923A9">
        <w:rPr>
          <w:rFonts w:ascii="Times New Roman" w:hAnsi="Times New Roman"/>
          <w:color w:val="000000" w:themeColor="text1"/>
          <w:sz w:val="22"/>
          <w:szCs w:val="22"/>
        </w:rPr>
        <w:t xml:space="preserve"> &amp; </w:t>
      </w:r>
      <w:proofErr w:type="spellStart"/>
      <w:r w:rsidRPr="00D923A9">
        <w:rPr>
          <w:rFonts w:ascii="Times New Roman" w:hAnsi="Times New Roman"/>
          <w:color w:val="000000" w:themeColor="text1"/>
          <w:sz w:val="22"/>
          <w:szCs w:val="22"/>
        </w:rPr>
        <w:t>Rismiati</w:t>
      </w:r>
      <w:proofErr w:type="spellEnd"/>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E.C</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Marketing of Goods and Services</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 xml:space="preserve">Yogyakarta: </w:t>
      </w:r>
      <w:proofErr w:type="spellStart"/>
      <w:r w:rsidRPr="00D923A9">
        <w:rPr>
          <w:rFonts w:ascii="Times New Roman" w:hAnsi="Times New Roman"/>
          <w:color w:val="000000" w:themeColor="text1"/>
          <w:sz w:val="22"/>
          <w:szCs w:val="22"/>
        </w:rPr>
        <w:t>Kanisius</w:t>
      </w:r>
      <w:proofErr w:type="spellEnd"/>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2001.</w:t>
      </w:r>
    </w:p>
    <w:p w14:paraId="49626A6F" w14:textId="6DBCE84F" w:rsid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 xml:space="preserve">Anderson, </w:t>
      </w:r>
      <w:proofErr w:type="spellStart"/>
      <w:r w:rsidRPr="00D923A9">
        <w:rPr>
          <w:rFonts w:ascii="Times New Roman" w:hAnsi="Times New Roman"/>
          <w:color w:val="000000" w:themeColor="text1"/>
          <w:sz w:val="22"/>
          <w:szCs w:val="22"/>
        </w:rPr>
        <w:t>G.Jnr</w:t>
      </w:r>
      <w:proofErr w:type="spellEnd"/>
      <w:r w:rsidRPr="00D923A9">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Religion and Morality in Ghana: A Reflection</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Global Journal of Arts Humanities and</w:t>
      </w:r>
      <w:r w:rsidRPr="00D923A9">
        <w:rPr>
          <w:rFonts w:ascii="Times New Roman" w:hAnsi="Times New Roman"/>
          <w:i/>
          <w:iCs/>
          <w:color w:val="000000" w:themeColor="text1"/>
          <w:sz w:val="22"/>
          <w:szCs w:val="22"/>
          <w:lang w:val="id-ID"/>
        </w:rPr>
        <w:t xml:space="preserve"> </w:t>
      </w:r>
      <w:r w:rsidRPr="00D923A9">
        <w:rPr>
          <w:rFonts w:ascii="Times New Roman" w:hAnsi="Times New Roman"/>
          <w:i/>
          <w:iCs/>
          <w:color w:val="000000" w:themeColor="text1"/>
          <w:sz w:val="22"/>
          <w:szCs w:val="22"/>
        </w:rPr>
        <w:t>Social Sciences,</w:t>
      </w:r>
      <w:r>
        <w:rPr>
          <w:rFonts w:ascii="Times New Roman" w:hAnsi="Times New Roman"/>
          <w:color w:val="000000" w:themeColor="text1"/>
          <w:sz w:val="22"/>
          <w:szCs w:val="22"/>
        </w:rPr>
        <w:t xml:space="preserve"> Vol.</w:t>
      </w:r>
      <w:r w:rsidRPr="004F572F">
        <w:rPr>
          <w:rFonts w:ascii="Times New Roman" w:hAnsi="Times New Roman"/>
          <w:color w:val="000000" w:themeColor="text1"/>
          <w:sz w:val="22"/>
          <w:szCs w:val="22"/>
        </w:rPr>
        <w:t xml:space="preserve"> 1</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3,</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2013</w:t>
      </w:r>
      <w:r>
        <w:rPr>
          <w:rFonts w:ascii="Times New Roman" w:hAnsi="Times New Roman"/>
          <w:color w:val="000000" w:themeColor="text1"/>
          <w:sz w:val="22"/>
          <w:szCs w:val="22"/>
        </w:rPr>
        <w:t>, pp.</w:t>
      </w:r>
      <w:r w:rsidRPr="00D923A9">
        <w:rPr>
          <w:rFonts w:ascii="Times New Roman" w:hAnsi="Times New Roman"/>
          <w:color w:val="000000" w:themeColor="text1"/>
          <w:sz w:val="22"/>
          <w:szCs w:val="22"/>
        </w:rPr>
        <w:t xml:space="preserve"> 162-170.</w:t>
      </w:r>
      <w:r w:rsidRPr="00D923A9">
        <w:rPr>
          <w:rFonts w:ascii="Times New Roman" w:hAnsi="Times New Roman"/>
          <w:color w:val="000000" w:themeColor="text1"/>
          <w:sz w:val="22"/>
          <w:szCs w:val="22"/>
          <w:lang w:val="id-ID"/>
        </w:rPr>
        <w:t xml:space="preserve"> </w:t>
      </w:r>
      <w:hyperlink r:id="rId17" w:history="1">
        <w:r w:rsidRPr="00DA111C">
          <w:rPr>
            <w:rStyle w:val="Hyperlink"/>
            <w:rFonts w:ascii="Times New Roman" w:hAnsi="Times New Roman"/>
            <w:sz w:val="22"/>
            <w:szCs w:val="22"/>
          </w:rPr>
          <w:t>https://www.eajournals.org/ wp-content/uploads/Religion-and-Morality-in-Ghana.pdf</w:t>
        </w:r>
      </w:hyperlink>
    </w:p>
    <w:p w14:paraId="032917F0" w14:textId="75068518" w:rsidR="004F572F" w:rsidRP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Kotler, P.</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Marketing</w:t>
      </w:r>
      <w:r w:rsidRPr="00D923A9">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sidRPr="004F572F">
        <w:rPr>
          <w:rFonts w:ascii="Times New Roman" w:hAnsi="Times New Roman"/>
          <w:i/>
          <w:iCs/>
          <w:color w:val="000000" w:themeColor="text1"/>
          <w:sz w:val="22"/>
          <w:szCs w:val="22"/>
        </w:rPr>
        <w:t>J</w:t>
      </w:r>
      <w:r w:rsidRPr="004F572F">
        <w:rPr>
          <w:rFonts w:ascii="Times New Roman" w:hAnsi="Times New Roman"/>
          <w:i/>
          <w:iCs/>
          <w:color w:val="000000" w:themeColor="text1"/>
          <w:sz w:val="22"/>
          <w:szCs w:val="22"/>
          <w:lang w:val="id-ID"/>
        </w:rPr>
        <w:t>i</w:t>
      </w:r>
      <w:r w:rsidRPr="004F572F">
        <w:rPr>
          <w:rFonts w:ascii="Times New Roman" w:hAnsi="Times New Roman"/>
          <w:i/>
          <w:iCs/>
          <w:color w:val="000000" w:themeColor="text1"/>
          <w:sz w:val="22"/>
          <w:szCs w:val="22"/>
        </w:rPr>
        <w:t>lid I</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 xml:space="preserve">Jakarta: </w:t>
      </w:r>
      <w:proofErr w:type="spellStart"/>
      <w:r w:rsidRPr="00D923A9">
        <w:rPr>
          <w:rFonts w:ascii="Times New Roman" w:hAnsi="Times New Roman"/>
          <w:color w:val="000000" w:themeColor="text1"/>
          <w:sz w:val="22"/>
          <w:szCs w:val="22"/>
        </w:rPr>
        <w:t>Erlangga</w:t>
      </w:r>
      <w:proofErr w:type="spellEnd"/>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1999.</w:t>
      </w:r>
    </w:p>
    <w:p w14:paraId="162CD53E" w14:textId="7A9FF5E4" w:rsidR="004F572F" w:rsidRP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Ihalauw</w:t>
      </w:r>
      <w:proofErr w:type="spellEnd"/>
      <w:r w:rsidRPr="00D923A9">
        <w:rPr>
          <w:rFonts w:ascii="Times New Roman" w:hAnsi="Times New Roman"/>
          <w:color w:val="000000" w:themeColor="text1"/>
          <w:sz w:val="22"/>
          <w:szCs w:val="22"/>
          <w:lang w:val="id-ID"/>
        </w:rPr>
        <w:t>, J.I.O.I.</w:t>
      </w:r>
      <w:r w:rsidRPr="00D923A9">
        <w:rPr>
          <w:rFonts w:ascii="Times New Roman" w:hAnsi="Times New Roman"/>
          <w:color w:val="000000" w:themeColor="text1"/>
          <w:sz w:val="22"/>
          <w:szCs w:val="22"/>
        </w:rPr>
        <w:t xml:space="preserve"> &amp; </w:t>
      </w:r>
      <w:proofErr w:type="spellStart"/>
      <w:r w:rsidRPr="00D923A9">
        <w:rPr>
          <w:rFonts w:ascii="Times New Roman" w:hAnsi="Times New Roman"/>
          <w:color w:val="000000" w:themeColor="text1"/>
          <w:sz w:val="22"/>
          <w:szCs w:val="22"/>
        </w:rPr>
        <w:t>Prasetijo</w:t>
      </w:r>
      <w:proofErr w:type="spellEnd"/>
      <w:r w:rsidRPr="00D923A9">
        <w:rPr>
          <w:rFonts w:ascii="Times New Roman" w:hAnsi="Times New Roman"/>
          <w:color w:val="000000" w:themeColor="text1"/>
          <w:sz w:val="22"/>
          <w:szCs w:val="22"/>
          <w:lang w:val="id-ID"/>
        </w:rPr>
        <w:t>, R</w:t>
      </w:r>
      <w:r w:rsidRPr="00D923A9">
        <w:rPr>
          <w:rFonts w:ascii="Times New Roman" w:hAnsi="Times New Roman"/>
          <w:color w:val="000000" w:themeColor="text1"/>
          <w:sz w:val="22"/>
          <w:szCs w:val="22"/>
        </w:rPr>
        <w:t>.</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 xml:space="preserve">Consumer </w:t>
      </w:r>
      <w:r w:rsidRPr="00D923A9">
        <w:rPr>
          <w:rFonts w:ascii="Times New Roman" w:hAnsi="Times New Roman"/>
          <w:i/>
          <w:iCs/>
          <w:color w:val="000000" w:themeColor="text1"/>
          <w:sz w:val="22"/>
          <w:szCs w:val="22"/>
          <w:lang w:val="id-ID"/>
        </w:rPr>
        <w:t>B</w:t>
      </w:r>
      <w:proofErr w:type="spellStart"/>
      <w:r w:rsidRPr="00D923A9">
        <w:rPr>
          <w:rFonts w:ascii="Times New Roman" w:hAnsi="Times New Roman"/>
          <w:i/>
          <w:iCs/>
          <w:color w:val="000000" w:themeColor="text1"/>
          <w:sz w:val="22"/>
          <w:szCs w:val="22"/>
        </w:rPr>
        <w:t>ehavior</w:t>
      </w:r>
      <w:proofErr w:type="spellEnd"/>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proofErr w:type="spellStart"/>
      <w:r w:rsidRPr="00D923A9">
        <w:rPr>
          <w:rFonts w:ascii="Times New Roman" w:hAnsi="Times New Roman"/>
          <w:color w:val="000000" w:themeColor="text1"/>
          <w:sz w:val="22"/>
          <w:szCs w:val="22"/>
        </w:rPr>
        <w:t>Salatiga</w:t>
      </w:r>
      <w:proofErr w:type="spellEnd"/>
      <w:r w:rsidRPr="00D923A9">
        <w:rPr>
          <w:rFonts w:ascii="Times New Roman" w:hAnsi="Times New Roman"/>
          <w:color w:val="000000" w:themeColor="text1"/>
          <w:sz w:val="22"/>
          <w:szCs w:val="22"/>
        </w:rPr>
        <w:t xml:space="preserve">: </w:t>
      </w:r>
      <w:proofErr w:type="spellStart"/>
      <w:r w:rsidRPr="00D923A9">
        <w:rPr>
          <w:rFonts w:ascii="Times New Roman" w:hAnsi="Times New Roman"/>
          <w:color w:val="000000" w:themeColor="text1"/>
          <w:sz w:val="22"/>
          <w:szCs w:val="22"/>
        </w:rPr>
        <w:t>Penerbit</w:t>
      </w:r>
      <w:proofErr w:type="spellEnd"/>
      <w:r w:rsidRPr="00D923A9">
        <w:rPr>
          <w:rFonts w:ascii="Times New Roman" w:hAnsi="Times New Roman"/>
          <w:color w:val="000000" w:themeColor="text1"/>
          <w:sz w:val="22"/>
          <w:szCs w:val="22"/>
        </w:rPr>
        <w:t xml:space="preserve"> Andi</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2004</w:t>
      </w:r>
      <w:r>
        <w:rPr>
          <w:rFonts w:ascii="Times New Roman" w:hAnsi="Times New Roman"/>
          <w:color w:val="000000" w:themeColor="text1"/>
          <w:sz w:val="22"/>
          <w:szCs w:val="22"/>
        </w:rPr>
        <w:t>.</w:t>
      </w:r>
    </w:p>
    <w:p w14:paraId="65A91626" w14:textId="583B2714" w:rsidR="004F572F" w:rsidRDefault="004F572F" w:rsidP="0097326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Keaveney</w:t>
      </w:r>
      <w:proofErr w:type="spellEnd"/>
      <w:r w:rsidRPr="00D923A9">
        <w:rPr>
          <w:rFonts w:ascii="Times New Roman" w:hAnsi="Times New Roman"/>
          <w:color w:val="000000" w:themeColor="text1"/>
          <w:sz w:val="22"/>
          <w:szCs w:val="22"/>
        </w:rPr>
        <w:t>, S</w:t>
      </w:r>
      <w:r w:rsidRPr="00D923A9">
        <w:rPr>
          <w:rFonts w:ascii="Times New Roman" w:hAnsi="Times New Roman"/>
          <w:color w:val="000000" w:themeColor="text1"/>
          <w:sz w:val="22"/>
          <w:szCs w:val="22"/>
          <w:lang w:val="id-ID"/>
        </w:rPr>
        <w:t>.</w:t>
      </w:r>
      <w:r w:rsidRPr="00D923A9">
        <w:rPr>
          <w:rFonts w:ascii="Times New Roman" w:hAnsi="Times New Roman"/>
          <w:color w:val="000000" w:themeColor="text1"/>
          <w:sz w:val="22"/>
          <w:szCs w:val="22"/>
        </w:rPr>
        <w:t>M.</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Customer Switching Behaviour in Service Industries: An Exploratory Study</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Journal of Marketing</w:t>
      </w:r>
      <w:r w:rsidRPr="00D923A9">
        <w:rPr>
          <w:rFonts w:ascii="Times New Roman" w:hAnsi="Times New Roman"/>
          <w:color w:val="000000" w:themeColor="text1"/>
          <w:sz w:val="22"/>
          <w:szCs w:val="22"/>
          <w:lang w:val="id-ID"/>
        </w:rPr>
        <w:t>,</w:t>
      </w:r>
      <w:r w:rsidRPr="00D923A9">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Vol. </w:t>
      </w:r>
      <w:r w:rsidRPr="00D923A9">
        <w:rPr>
          <w:rFonts w:ascii="Times New Roman" w:hAnsi="Times New Roman"/>
          <w:color w:val="000000" w:themeColor="text1"/>
          <w:sz w:val="22"/>
          <w:szCs w:val="22"/>
        </w:rPr>
        <w:t>50</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2</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rPr>
        <w:t>1995.</w:t>
      </w:r>
      <w:r w:rsidRPr="00D923A9">
        <w:rPr>
          <w:rFonts w:ascii="Times New Roman" w:hAnsi="Times New Roman"/>
          <w:color w:val="000000" w:themeColor="text1"/>
          <w:sz w:val="22"/>
          <w:szCs w:val="22"/>
          <w:lang w:val="id-ID"/>
        </w:rPr>
        <w:t xml:space="preserve"> </w:t>
      </w:r>
      <w:hyperlink r:id="rId18" w:history="1">
        <w:r w:rsidRPr="00DA111C">
          <w:rPr>
            <w:rStyle w:val="Hyperlink"/>
            <w:rFonts w:ascii="Times New Roman" w:hAnsi="Times New Roman"/>
            <w:sz w:val="22"/>
            <w:szCs w:val="22"/>
          </w:rPr>
          <w:t>https://doi.org/10.2307/ 1252074</w:t>
        </w:r>
      </w:hyperlink>
    </w:p>
    <w:p w14:paraId="0710789E" w14:textId="77777777" w:rsidR="004F572F" w:rsidRPr="004F572F" w:rsidRDefault="004F572F"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Pursetyaningsih</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The Influence of Price, Reputation, Service Quality, Promotion, Force Transfer, and Recommendations on Customer Behavior Switching Banks</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color w:val="000000" w:themeColor="text1"/>
          <w:sz w:val="22"/>
          <w:szCs w:val="22"/>
          <w:lang w:val="id-ID"/>
        </w:rPr>
        <w:t>Jurnal Manajemen Teori dan  Terapan</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lang w:val="en-US"/>
        </w:rPr>
        <w:t xml:space="preserve"> Vol.</w:t>
      </w:r>
      <w:r w:rsidRPr="00D923A9">
        <w:rPr>
          <w:rFonts w:ascii="Times New Roman" w:hAnsi="Times New Roman"/>
          <w:color w:val="000000" w:themeColor="text1"/>
          <w:sz w:val="22"/>
          <w:szCs w:val="22"/>
          <w:lang w:val="id-ID"/>
        </w:rPr>
        <w:t xml:space="preserve"> 1</w:t>
      </w:r>
      <w:r>
        <w:rPr>
          <w:rFonts w:ascii="Times New Roman" w:hAnsi="Times New Roman"/>
          <w:color w:val="000000" w:themeColor="text1"/>
          <w:sz w:val="22"/>
          <w:szCs w:val="22"/>
          <w:lang w:val="en-US"/>
        </w:rPr>
        <w:t xml:space="preserve">, No. </w:t>
      </w:r>
      <w:r w:rsidRPr="00D923A9">
        <w:rPr>
          <w:rFonts w:ascii="Times New Roman" w:hAnsi="Times New Roman"/>
          <w:color w:val="000000" w:themeColor="text1"/>
          <w:sz w:val="22"/>
          <w:szCs w:val="22"/>
          <w:lang w:val="id-ID"/>
        </w:rPr>
        <w:t>3</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 xml:space="preserve">2008. </w:t>
      </w:r>
      <w:hyperlink r:id="rId19" w:history="1">
        <w:r w:rsidRPr="00D923A9">
          <w:rPr>
            <w:rStyle w:val="Hyperlink"/>
            <w:rFonts w:ascii="Times New Roman" w:hAnsi="Times New Roman"/>
            <w:sz w:val="22"/>
            <w:szCs w:val="22"/>
          </w:rPr>
          <w:t>http://dx.doi.org/ 10.20473/jmtt.v1i3.2371</w:t>
        </w:r>
      </w:hyperlink>
    </w:p>
    <w:p w14:paraId="32D9EA7D" w14:textId="3E7A58AE" w:rsidR="00D923A9" w:rsidRPr="008F21D1" w:rsidRDefault="00D923A9"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4F572F">
        <w:rPr>
          <w:rFonts w:ascii="Times New Roman" w:hAnsi="Times New Roman" w:cs="Times New Roman"/>
          <w:color w:val="000000" w:themeColor="text1"/>
          <w:sz w:val="22"/>
          <w:szCs w:val="22"/>
          <w:lang w:val="id-ID"/>
        </w:rPr>
        <w:t>Abduh, M., Kassim, S., and Dahari, Z.</w:t>
      </w:r>
      <w:r w:rsidR="004F572F">
        <w:rPr>
          <w:rFonts w:ascii="Times New Roman" w:hAnsi="Times New Roman" w:cs="Times New Roman"/>
          <w:color w:val="000000" w:themeColor="text1"/>
          <w:sz w:val="22"/>
          <w:szCs w:val="22"/>
          <w:lang w:val="en-US"/>
        </w:rPr>
        <w:t>,</w:t>
      </w:r>
      <w:r w:rsidRPr="004F572F">
        <w:rPr>
          <w:rFonts w:ascii="Times New Roman" w:hAnsi="Times New Roman" w:cs="Times New Roman"/>
          <w:color w:val="000000" w:themeColor="text1"/>
          <w:sz w:val="22"/>
          <w:szCs w:val="22"/>
          <w:lang w:val="id-ID"/>
        </w:rPr>
        <w:t xml:space="preserve"> Customer Satisfaction and Switching Behavior in Islamic Banking: Evidence from Indonesia. </w:t>
      </w:r>
      <w:r w:rsidRPr="004F572F">
        <w:rPr>
          <w:rFonts w:ascii="Times New Roman" w:hAnsi="Times New Roman" w:cs="Times New Roman"/>
          <w:i/>
          <w:color w:val="000000" w:themeColor="text1"/>
          <w:sz w:val="22"/>
          <w:szCs w:val="22"/>
        </w:rPr>
        <w:t>School of Doctoral Studies (European Union) Journal</w:t>
      </w:r>
      <w:r w:rsidRPr="004F572F">
        <w:rPr>
          <w:rFonts w:ascii="Times New Roman" w:hAnsi="Times New Roman" w:cs="Times New Roman"/>
          <w:color w:val="000000" w:themeColor="text1"/>
          <w:sz w:val="22"/>
          <w:szCs w:val="22"/>
          <w:lang w:val="id-ID"/>
        </w:rPr>
        <w:t xml:space="preserve">, </w:t>
      </w:r>
      <w:r w:rsidR="004F572F">
        <w:rPr>
          <w:rFonts w:ascii="Times New Roman" w:hAnsi="Times New Roman" w:cs="Times New Roman"/>
          <w:color w:val="000000" w:themeColor="text1"/>
          <w:sz w:val="22"/>
          <w:szCs w:val="22"/>
          <w:lang w:val="en-US"/>
        </w:rPr>
        <w:t xml:space="preserve">Vol. </w:t>
      </w:r>
      <w:r w:rsidRPr="004F572F">
        <w:rPr>
          <w:rFonts w:ascii="Times New Roman" w:hAnsi="Times New Roman" w:cs="Times New Roman"/>
          <w:iCs/>
          <w:color w:val="000000" w:themeColor="text1"/>
          <w:sz w:val="22"/>
          <w:szCs w:val="22"/>
          <w:lang w:val="id-ID"/>
        </w:rPr>
        <w:t>4</w:t>
      </w:r>
      <w:r w:rsidRPr="004F572F">
        <w:rPr>
          <w:rFonts w:ascii="Times New Roman" w:hAnsi="Times New Roman" w:cs="Times New Roman"/>
          <w:color w:val="000000" w:themeColor="text1"/>
          <w:sz w:val="22"/>
          <w:szCs w:val="22"/>
          <w:lang w:val="id-ID"/>
        </w:rPr>
        <w:t>,</w:t>
      </w:r>
      <w:r w:rsidR="004F572F">
        <w:rPr>
          <w:rFonts w:ascii="Times New Roman" w:hAnsi="Times New Roman" w:cs="Times New Roman"/>
          <w:color w:val="000000" w:themeColor="text1"/>
          <w:sz w:val="22"/>
          <w:szCs w:val="22"/>
          <w:lang w:val="en-US"/>
        </w:rPr>
        <w:t xml:space="preserve"> </w:t>
      </w:r>
      <w:r w:rsidR="004F572F" w:rsidRPr="004F572F">
        <w:rPr>
          <w:rFonts w:ascii="Times New Roman" w:hAnsi="Times New Roman" w:cs="Times New Roman"/>
          <w:color w:val="000000" w:themeColor="text1"/>
          <w:sz w:val="22"/>
          <w:szCs w:val="22"/>
          <w:lang w:val="id-ID"/>
        </w:rPr>
        <w:t>2012</w:t>
      </w:r>
      <w:r w:rsidR="004F572F">
        <w:rPr>
          <w:rFonts w:ascii="Times New Roman" w:hAnsi="Times New Roman" w:cs="Times New Roman"/>
          <w:color w:val="000000" w:themeColor="text1"/>
          <w:sz w:val="22"/>
          <w:szCs w:val="22"/>
          <w:lang w:val="en-US"/>
        </w:rPr>
        <w:t>, pp.</w:t>
      </w:r>
      <w:r w:rsidRPr="004F572F">
        <w:rPr>
          <w:rFonts w:ascii="Times New Roman" w:hAnsi="Times New Roman" w:cs="Times New Roman"/>
          <w:color w:val="000000" w:themeColor="text1"/>
          <w:sz w:val="22"/>
          <w:szCs w:val="22"/>
          <w:lang w:val="id-ID"/>
        </w:rPr>
        <w:t xml:space="preserve"> 209-215. </w:t>
      </w:r>
      <w:hyperlink r:id="rId20" w:history="1">
        <w:r w:rsidR="008F21D1" w:rsidRPr="00DA111C">
          <w:rPr>
            <w:rStyle w:val="Hyperlink"/>
            <w:rFonts w:ascii="Times New Roman" w:hAnsi="Times New Roman"/>
            <w:sz w:val="22"/>
            <w:szCs w:val="22"/>
          </w:rPr>
          <w:t>http://irep.iium.edu.my/ id/</w:t>
        </w:r>
        <w:proofErr w:type="spellStart"/>
        <w:r w:rsidR="008F21D1" w:rsidRPr="00DA111C">
          <w:rPr>
            <w:rStyle w:val="Hyperlink"/>
            <w:rFonts w:ascii="Times New Roman" w:hAnsi="Times New Roman"/>
            <w:sz w:val="22"/>
            <w:szCs w:val="22"/>
          </w:rPr>
          <w:t>eprint</w:t>
        </w:r>
        <w:proofErr w:type="spellEnd"/>
        <w:r w:rsidR="008F21D1" w:rsidRPr="00DA111C">
          <w:rPr>
            <w:rStyle w:val="Hyperlink"/>
            <w:rFonts w:ascii="Times New Roman" w:hAnsi="Times New Roman"/>
            <w:sz w:val="22"/>
            <w:szCs w:val="22"/>
          </w:rPr>
          <w:t>/26365</w:t>
        </w:r>
      </w:hyperlink>
      <w:r w:rsidRPr="004F572F">
        <w:rPr>
          <w:rFonts w:ascii="Times New Roman" w:hAnsi="Times New Roman" w:cs="Times New Roman"/>
          <w:color w:val="000000" w:themeColor="text1"/>
          <w:sz w:val="22"/>
          <w:szCs w:val="22"/>
          <w:lang w:val="id-ID"/>
        </w:rPr>
        <w:t xml:space="preserve">  </w:t>
      </w:r>
    </w:p>
    <w:p w14:paraId="76A8D9F5" w14:textId="291FA517" w:rsidR="008F21D1" w:rsidRPr="008F21D1" w:rsidRDefault="008F21D1"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Romadhon, G.</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Analysis of Factors Affecting Customer Switching Behavior</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color w:val="000000" w:themeColor="text1"/>
          <w:sz w:val="22"/>
          <w:szCs w:val="22"/>
          <w:lang w:val="id-ID"/>
        </w:rPr>
        <w:t>Jurnal Manajemen dan Akuntansi</w:t>
      </w:r>
      <w:r w:rsidRPr="00D923A9">
        <w:rPr>
          <w:rFonts w:ascii="Times New Roman" w:hAnsi="Times New Roman"/>
          <w:color w:val="000000" w:themeColor="text1"/>
          <w:sz w:val="22"/>
          <w:szCs w:val="22"/>
          <w:lang w:val="id-ID"/>
        </w:rPr>
        <w:t>,</w:t>
      </w:r>
      <w:r>
        <w:rPr>
          <w:rFonts w:ascii="Times New Roman" w:hAnsi="Times New Roman"/>
          <w:color w:val="000000" w:themeColor="text1"/>
          <w:sz w:val="22"/>
          <w:szCs w:val="22"/>
          <w:lang w:val="en-US"/>
        </w:rPr>
        <w:t xml:space="preserve"> Vol.</w:t>
      </w:r>
      <w:r w:rsidRPr="00D923A9">
        <w:rPr>
          <w:rFonts w:ascii="Times New Roman" w:hAnsi="Times New Roman"/>
          <w:color w:val="000000" w:themeColor="text1"/>
          <w:sz w:val="22"/>
          <w:szCs w:val="22"/>
          <w:lang w:val="id-ID"/>
        </w:rPr>
        <w:t xml:space="preserve"> </w:t>
      </w:r>
      <w:r w:rsidRPr="008F21D1">
        <w:rPr>
          <w:rFonts w:ascii="Times New Roman" w:hAnsi="Times New Roman"/>
          <w:iCs/>
          <w:color w:val="000000" w:themeColor="text1"/>
          <w:sz w:val="22"/>
          <w:szCs w:val="22"/>
          <w:lang w:val="id-ID"/>
        </w:rPr>
        <w:t>2</w:t>
      </w:r>
      <w:r>
        <w:rPr>
          <w:rFonts w:ascii="Times New Roman" w:hAnsi="Times New Roman"/>
          <w:color w:val="000000" w:themeColor="text1"/>
          <w:sz w:val="22"/>
          <w:szCs w:val="22"/>
          <w:lang w:val="en-US"/>
        </w:rPr>
        <w:t xml:space="preserve">, No. </w:t>
      </w:r>
      <w:r w:rsidRPr="00D923A9">
        <w:rPr>
          <w:rFonts w:ascii="Times New Roman" w:hAnsi="Times New Roman"/>
          <w:color w:val="000000" w:themeColor="text1"/>
          <w:sz w:val="22"/>
          <w:szCs w:val="22"/>
          <w:lang w:val="id-ID"/>
        </w:rPr>
        <w:t>3</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 xml:space="preserve">2013. </w:t>
      </w:r>
      <w:hyperlink r:id="rId21" w:history="1">
        <w:r w:rsidRPr="00DA111C">
          <w:rPr>
            <w:rStyle w:val="Hyperlink"/>
            <w:rFonts w:ascii="Times New Roman" w:hAnsi="Times New Roman"/>
            <w:sz w:val="22"/>
            <w:szCs w:val="22"/>
          </w:rPr>
          <w:t>https://media.neliti.com/media/ publications/110977-ID-analisis-faktor-faktor-yang-memengaruhi.pdf</w:t>
        </w:r>
      </w:hyperlink>
    </w:p>
    <w:p w14:paraId="13B36E7B" w14:textId="1996C124" w:rsidR="008F21D1" w:rsidRDefault="008F21D1"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iCs/>
          <w:sz w:val="22"/>
          <w:szCs w:val="22"/>
        </w:rPr>
        <w:t>Sudarsono</w:t>
      </w:r>
      <w:proofErr w:type="spellEnd"/>
      <w:r w:rsidRPr="00D923A9">
        <w:rPr>
          <w:rFonts w:ascii="Times New Roman" w:hAnsi="Times New Roman"/>
          <w:iCs/>
          <w:sz w:val="22"/>
          <w:szCs w:val="22"/>
          <w:lang w:val="id-ID"/>
        </w:rPr>
        <w:t>, H.</w:t>
      </w:r>
      <w:r w:rsidRPr="00D923A9">
        <w:rPr>
          <w:rFonts w:ascii="Times New Roman" w:hAnsi="Times New Roman"/>
          <w:iCs/>
          <w:sz w:val="22"/>
          <w:szCs w:val="22"/>
        </w:rPr>
        <w:t xml:space="preserve">, </w:t>
      </w:r>
      <w:proofErr w:type="spellStart"/>
      <w:r w:rsidRPr="00D923A9">
        <w:rPr>
          <w:rFonts w:ascii="Times New Roman" w:hAnsi="Times New Roman"/>
          <w:iCs/>
          <w:sz w:val="22"/>
          <w:szCs w:val="22"/>
        </w:rPr>
        <w:t>Tumewang</w:t>
      </w:r>
      <w:proofErr w:type="spellEnd"/>
      <w:r w:rsidRPr="00D923A9">
        <w:rPr>
          <w:rFonts w:ascii="Times New Roman" w:hAnsi="Times New Roman"/>
          <w:iCs/>
          <w:sz w:val="22"/>
          <w:szCs w:val="22"/>
        </w:rPr>
        <w:t>,</w:t>
      </w:r>
      <w:r w:rsidRPr="00D923A9">
        <w:rPr>
          <w:rFonts w:ascii="Times New Roman" w:hAnsi="Times New Roman"/>
          <w:iCs/>
          <w:sz w:val="22"/>
          <w:szCs w:val="22"/>
          <w:lang w:val="id-ID"/>
        </w:rPr>
        <w:t xml:space="preserve"> Y.K., and</w:t>
      </w:r>
      <w:r w:rsidRPr="00D923A9">
        <w:rPr>
          <w:rFonts w:ascii="Times New Roman" w:hAnsi="Times New Roman"/>
          <w:iCs/>
          <w:sz w:val="22"/>
          <w:szCs w:val="22"/>
        </w:rPr>
        <w:t xml:space="preserve"> </w:t>
      </w:r>
      <w:proofErr w:type="spellStart"/>
      <w:r w:rsidRPr="00D923A9">
        <w:rPr>
          <w:rFonts w:ascii="Times New Roman" w:hAnsi="Times New Roman"/>
          <w:iCs/>
          <w:sz w:val="22"/>
          <w:szCs w:val="22"/>
        </w:rPr>
        <w:t>Kholid</w:t>
      </w:r>
      <w:proofErr w:type="spellEnd"/>
      <w:r w:rsidRPr="00D923A9">
        <w:rPr>
          <w:rFonts w:ascii="Times New Roman" w:hAnsi="Times New Roman"/>
          <w:iCs/>
          <w:sz w:val="22"/>
          <w:szCs w:val="22"/>
          <w:lang w:val="id-ID"/>
        </w:rPr>
        <w:t>, M.N.</w:t>
      </w:r>
      <w:r>
        <w:rPr>
          <w:rFonts w:ascii="Times New Roman" w:hAnsi="Times New Roman"/>
          <w:iCs/>
          <w:sz w:val="22"/>
          <w:szCs w:val="22"/>
          <w:lang w:val="en-US"/>
        </w:rPr>
        <w:t>,</w:t>
      </w:r>
      <w:r w:rsidRPr="00D923A9">
        <w:rPr>
          <w:rFonts w:ascii="Times New Roman" w:hAnsi="Times New Roman"/>
          <w:iCs/>
          <w:sz w:val="22"/>
          <w:szCs w:val="22"/>
          <w:lang w:val="id-ID"/>
        </w:rPr>
        <w:t xml:space="preserve"> </w:t>
      </w:r>
      <w:r w:rsidRPr="00D923A9">
        <w:rPr>
          <w:rFonts w:ascii="Times New Roman" w:hAnsi="Times New Roman"/>
          <w:bCs/>
          <w:sz w:val="22"/>
          <w:szCs w:val="22"/>
        </w:rPr>
        <w:t>Customer Adoption of Islamic Banking Services:</w:t>
      </w:r>
      <w:r w:rsidRPr="00D923A9">
        <w:rPr>
          <w:rFonts w:ascii="Times New Roman" w:hAnsi="Times New Roman"/>
          <w:iCs/>
          <w:sz w:val="22"/>
          <w:szCs w:val="22"/>
          <w:lang w:val="id-ID"/>
        </w:rPr>
        <w:t xml:space="preserve"> </w:t>
      </w:r>
      <w:r w:rsidRPr="00D923A9">
        <w:rPr>
          <w:rFonts w:ascii="Times New Roman" w:hAnsi="Times New Roman"/>
          <w:bCs/>
          <w:sz w:val="22"/>
          <w:szCs w:val="22"/>
        </w:rPr>
        <w:t>Empirical Evidence from Indonesia</w:t>
      </w:r>
      <w:r>
        <w:rPr>
          <w:rFonts w:ascii="Times New Roman" w:hAnsi="Times New Roman"/>
          <w:bCs/>
          <w:sz w:val="22"/>
          <w:szCs w:val="22"/>
          <w:lang w:val="en-US"/>
        </w:rPr>
        <w:t>,</w:t>
      </w:r>
      <w:r w:rsidRPr="00D923A9">
        <w:rPr>
          <w:rFonts w:ascii="Times New Roman" w:hAnsi="Times New Roman"/>
          <w:bCs/>
          <w:sz w:val="22"/>
          <w:szCs w:val="22"/>
          <w:lang w:val="id-ID"/>
        </w:rPr>
        <w:t xml:space="preserve"> </w:t>
      </w:r>
      <w:r w:rsidRPr="00D923A9">
        <w:rPr>
          <w:rFonts w:ascii="Times New Roman" w:hAnsi="Times New Roman"/>
          <w:i/>
          <w:iCs/>
          <w:sz w:val="22"/>
          <w:szCs w:val="22"/>
        </w:rPr>
        <w:t xml:space="preserve">Journal of Asian Finance, Economics and </w:t>
      </w:r>
      <w:r w:rsidRPr="00D923A9">
        <w:rPr>
          <w:rFonts w:ascii="Times New Roman" w:hAnsi="Times New Roman"/>
          <w:i/>
          <w:iCs/>
          <w:sz w:val="22"/>
          <w:szCs w:val="22"/>
        </w:rPr>
        <w:lastRenderedPageBreak/>
        <w:t>Business</w:t>
      </w:r>
      <w:r w:rsidRPr="00D923A9">
        <w:rPr>
          <w:rFonts w:ascii="Times New Roman" w:hAnsi="Times New Roman"/>
          <w:iCs/>
          <w:sz w:val="22"/>
          <w:szCs w:val="22"/>
          <w:lang w:val="id-ID"/>
        </w:rPr>
        <w:t>,</w:t>
      </w:r>
      <w:r w:rsidRPr="00D923A9">
        <w:rPr>
          <w:rFonts w:ascii="Times New Roman" w:hAnsi="Times New Roman"/>
          <w:iCs/>
          <w:sz w:val="22"/>
          <w:szCs w:val="22"/>
        </w:rPr>
        <w:t xml:space="preserve"> </w:t>
      </w:r>
      <w:r>
        <w:rPr>
          <w:rFonts w:ascii="Times New Roman" w:hAnsi="Times New Roman"/>
          <w:iCs/>
          <w:sz w:val="22"/>
          <w:szCs w:val="22"/>
        </w:rPr>
        <w:t xml:space="preserve">Vol. </w:t>
      </w:r>
      <w:r w:rsidRPr="008F21D1">
        <w:rPr>
          <w:rFonts w:ascii="Times New Roman" w:hAnsi="Times New Roman"/>
          <w:sz w:val="22"/>
          <w:szCs w:val="22"/>
        </w:rPr>
        <w:t>8</w:t>
      </w:r>
      <w:r>
        <w:rPr>
          <w:rFonts w:ascii="Times New Roman" w:hAnsi="Times New Roman"/>
          <w:iCs/>
          <w:sz w:val="22"/>
          <w:szCs w:val="22"/>
          <w:lang w:val="en-US"/>
        </w:rPr>
        <w:t xml:space="preserve">, No. </w:t>
      </w:r>
      <w:r w:rsidRPr="00D923A9">
        <w:rPr>
          <w:rFonts w:ascii="Times New Roman" w:hAnsi="Times New Roman"/>
          <w:iCs/>
          <w:sz w:val="22"/>
          <w:szCs w:val="22"/>
        </w:rPr>
        <w:t>3</w:t>
      </w:r>
      <w:r w:rsidRPr="00D923A9">
        <w:rPr>
          <w:rFonts w:ascii="Times New Roman" w:hAnsi="Times New Roman"/>
          <w:iCs/>
          <w:sz w:val="22"/>
          <w:szCs w:val="22"/>
          <w:lang w:val="id-ID"/>
        </w:rPr>
        <w:t>,</w:t>
      </w:r>
      <w:r>
        <w:rPr>
          <w:rFonts w:ascii="Times New Roman" w:hAnsi="Times New Roman"/>
          <w:iCs/>
          <w:sz w:val="22"/>
          <w:szCs w:val="22"/>
          <w:lang w:val="en-US"/>
        </w:rPr>
        <w:t xml:space="preserve"> </w:t>
      </w:r>
      <w:r w:rsidRPr="00D923A9">
        <w:rPr>
          <w:rFonts w:ascii="Times New Roman" w:hAnsi="Times New Roman"/>
          <w:iCs/>
          <w:sz w:val="22"/>
          <w:szCs w:val="22"/>
          <w:lang w:val="id-ID"/>
        </w:rPr>
        <w:t>2021</w:t>
      </w:r>
      <w:r>
        <w:rPr>
          <w:rFonts w:ascii="Times New Roman" w:hAnsi="Times New Roman"/>
          <w:iCs/>
          <w:sz w:val="22"/>
          <w:szCs w:val="22"/>
          <w:lang w:val="en-US"/>
        </w:rPr>
        <w:t>, pp.</w:t>
      </w:r>
      <w:r w:rsidRPr="00D923A9">
        <w:rPr>
          <w:rFonts w:ascii="Times New Roman" w:hAnsi="Times New Roman"/>
          <w:iCs/>
          <w:sz w:val="22"/>
          <w:szCs w:val="22"/>
        </w:rPr>
        <w:t xml:space="preserve"> 1193–1204</w:t>
      </w:r>
      <w:r w:rsidRPr="00D923A9">
        <w:rPr>
          <w:rFonts w:ascii="Times New Roman" w:hAnsi="Times New Roman"/>
          <w:iCs/>
          <w:sz w:val="22"/>
          <w:szCs w:val="22"/>
          <w:lang w:val="id-ID"/>
        </w:rPr>
        <w:t xml:space="preserve">. </w:t>
      </w:r>
      <w:hyperlink r:id="rId22" w:history="1">
        <w:r w:rsidRPr="00DA111C">
          <w:rPr>
            <w:rStyle w:val="Hyperlink"/>
            <w:rFonts w:ascii="Times New Roman" w:hAnsi="Times New Roman"/>
            <w:sz w:val="22"/>
            <w:szCs w:val="22"/>
          </w:rPr>
          <w:t>https://doi.org/10.13106/jafeb.2021.vol8.no3.1193</w:t>
        </w:r>
      </w:hyperlink>
    </w:p>
    <w:p w14:paraId="477C407E" w14:textId="54C8E465" w:rsidR="008F21D1" w:rsidRDefault="008F21D1"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iCs/>
          <w:color w:val="000000"/>
          <w:sz w:val="22"/>
          <w:szCs w:val="22"/>
        </w:rPr>
        <w:t>Ryandono</w:t>
      </w:r>
      <w:proofErr w:type="spellEnd"/>
      <w:r w:rsidRPr="00D923A9">
        <w:rPr>
          <w:rFonts w:ascii="Times New Roman" w:hAnsi="Times New Roman"/>
          <w:iCs/>
          <w:color w:val="000000"/>
          <w:sz w:val="22"/>
          <w:szCs w:val="22"/>
        </w:rPr>
        <w:t>,</w:t>
      </w:r>
      <w:r w:rsidRPr="00D923A9">
        <w:rPr>
          <w:rFonts w:ascii="Times New Roman" w:hAnsi="Times New Roman"/>
          <w:iCs/>
          <w:color w:val="000000"/>
          <w:sz w:val="22"/>
          <w:szCs w:val="22"/>
          <w:lang w:val="id-ID"/>
        </w:rPr>
        <w:t xml:space="preserve"> M.N.H,</w:t>
      </w:r>
      <w:r w:rsidRPr="00D923A9">
        <w:rPr>
          <w:rFonts w:ascii="Times New Roman" w:hAnsi="Times New Roman"/>
          <w:iCs/>
          <w:color w:val="000000"/>
          <w:sz w:val="22"/>
          <w:szCs w:val="22"/>
        </w:rPr>
        <w:t xml:space="preserve"> Kusuma</w:t>
      </w:r>
      <w:r w:rsidRPr="00D923A9">
        <w:rPr>
          <w:rFonts w:ascii="Times New Roman" w:hAnsi="Times New Roman"/>
          <w:iCs/>
          <w:color w:val="000000"/>
          <w:sz w:val="22"/>
          <w:szCs w:val="22"/>
          <w:lang w:val="id-ID"/>
        </w:rPr>
        <w:t>, K.A.</w:t>
      </w:r>
      <w:r w:rsidRPr="00D923A9">
        <w:rPr>
          <w:rFonts w:ascii="Times New Roman" w:hAnsi="Times New Roman"/>
          <w:iCs/>
          <w:color w:val="000000"/>
          <w:sz w:val="22"/>
          <w:szCs w:val="22"/>
        </w:rPr>
        <w:t xml:space="preserve">, </w:t>
      </w:r>
      <w:proofErr w:type="spellStart"/>
      <w:r w:rsidRPr="00D923A9">
        <w:rPr>
          <w:rFonts w:ascii="Times New Roman" w:hAnsi="Times New Roman"/>
          <w:iCs/>
          <w:color w:val="000000"/>
          <w:sz w:val="22"/>
          <w:szCs w:val="22"/>
        </w:rPr>
        <w:t>Prasetyo</w:t>
      </w:r>
      <w:proofErr w:type="spellEnd"/>
      <w:r w:rsidRPr="00D923A9">
        <w:rPr>
          <w:rFonts w:ascii="Times New Roman" w:hAnsi="Times New Roman"/>
          <w:iCs/>
          <w:color w:val="000000"/>
          <w:sz w:val="22"/>
          <w:szCs w:val="22"/>
          <w:lang w:val="id-ID"/>
        </w:rPr>
        <w:t>, A.</w:t>
      </w:r>
      <w:r>
        <w:rPr>
          <w:rFonts w:ascii="Times New Roman" w:hAnsi="Times New Roman"/>
          <w:iCs/>
          <w:color w:val="000000"/>
          <w:sz w:val="22"/>
          <w:szCs w:val="22"/>
          <w:lang w:val="en-US"/>
        </w:rPr>
        <w:t>,</w:t>
      </w:r>
      <w:r w:rsidRPr="00D923A9">
        <w:rPr>
          <w:rFonts w:ascii="Times New Roman" w:hAnsi="Times New Roman"/>
          <w:iCs/>
          <w:color w:val="000000"/>
          <w:sz w:val="22"/>
          <w:szCs w:val="22"/>
        </w:rPr>
        <w:t xml:space="preserve"> </w:t>
      </w:r>
      <w:r w:rsidRPr="00D923A9">
        <w:rPr>
          <w:rFonts w:ascii="Times New Roman" w:hAnsi="Times New Roman"/>
          <w:bCs/>
          <w:sz w:val="22"/>
          <w:szCs w:val="22"/>
        </w:rPr>
        <w:t xml:space="preserve">The Foundation of a Fair </w:t>
      </w:r>
      <w:proofErr w:type="spellStart"/>
      <w:r w:rsidRPr="00D923A9">
        <w:rPr>
          <w:rFonts w:ascii="Times New Roman" w:hAnsi="Times New Roman"/>
          <w:bCs/>
          <w:sz w:val="22"/>
          <w:szCs w:val="22"/>
        </w:rPr>
        <w:t>Mudarabah</w:t>
      </w:r>
      <w:proofErr w:type="spellEnd"/>
      <w:r w:rsidRPr="00D923A9">
        <w:rPr>
          <w:rFonts w:ascii="Times New Roman" w:hAnsi="Times New Roman"/>
          <w:bCs/>
          <w:sz w:val="22"/>
          <w:szCs w:val="22"/>
        </w:rPr>
        <w:t xml:space="preserve"> Profit Sharing Ratio: A Case Study of Islamic Banks in Indonesia</w:t>
      </w:r>
      <w:r>
        <w:rPr>
          <w:rFonts w:ascii="Times New Roman" w:hAnsi="Times New Roman"/>
          <w:iCs/>
          <w:sz w:val="22"/>
          <w:szCs w:val="22"/>
          <w:lang w:val="en-US"/>
        </w:rPr>
        <w:t>,</w:t>
      </w:r>
      <w:r w:rsidRPr="00D923A9">
        <w:rPr>
          <w:rFonts w:ascii="Times New Roman" w:hAnsi="Times New Roman"/>
          <w:iCs/>
          <w:sz w:val="22"/>
          <w:szCs w:val="22"/>
          <w:lang w:val="id-ID"/>
        </w:rPr>
        <w:t xml:space="preserve"> </w:t>
      </w:r>
      <w:r w:rsidRPr="00D923A9">
        <w:rPr>
          <w:rFonts w:ascii="Times New Roman" w:hAnsi="Times New Roman"/>
          <w:i/>
          <w:iCs/>
          <w:color w:val="000000"/>
          <w:sz w:val="22"/>
          <w:szCs w:val="22"/>
        </w:rPr>
        <w:t>Journal of Asian Finance, Economics and Business</w:t>
      </w:r>
      <w:r w:rsidRPr="00D923A9">
        <w:rPr>
          <w:rFonts w:ascii="Times New Roman" w:hAnsi="Times New Roman"/>
          <w:iCs/>
          <w:color w:val="000000"/>
          <w:sz w:val="22"/>
          <w:szCs w:val="22"/>
          <w:lang w:val="id-ID"/>
        </w:rPr>
        <w:t>,</w:t>
      </w:r>
      <w:r>
        <w:rPr>
          <w:rFonts w:ascii="Times New Roman" w:hAnsi="Times New Roman"/>
          <w:iCs/>
          <w:color w:val="000000"/>
          <w:sz w:val="22"/>
          <w:szCs w:val="22"/>
          <w:lang w:val="en-US"/>
        </w:rPr>
        <w:t xml:space="preserve"> Vol.</w:t>
      </w:r>
      <w:r w:rsidRPr="00D923A9">
        <w:rPr>
          <w:rFonts w:ascii="Times New Roman" w:hAnsi="Times New Roman"/>
          <w:iCs/>
          <w:color w:val="000000"/>
          <w:sz w:val="22"/>
          <w:szCs w:val="22"/>
        </w:rPr>
        <w:t xml:space="preserve"> </w:t>
      </w:r>
      <w:r w:rsidRPr="008F21D1">
        <w:rPr>
          <w:rFonts w:ascii="Times New Roman" w:hAnsi="Times New Roman"/>
          <w:color w:val="000000"/>
          <w:sz w:val="22"/>
          <w:szCs w:val="22"/>
        </w:rPr>
        <w:t>8</w:t>
      </w:r>
      <w:r>
        <w:rPr>
          <w:rFonts w:ascii="Times New Roman" w:hAnsi="Times New Roman"/>
          <w:iCs/>
          <w:color w:val="000000"/>
          <w:sz w:val="22"/>
          <w:szCs w:val="22"/>
          <w:lang w:val="en-US"/>
        </w:rPr>
        <w:t xml:space="preserve">, No. </w:t>
      </w:r>
      <w:r w:rsidRPr="00D923A9">
        <w:rPr>
          <w:rFonts w:ascii="Times New Roman" w:hAnsi="Times New Roman"/>
          <w:iCs/>
          <w:color w:val="000000"/>
          <w:sz w:val="22"/>
          <w:szCs w:val="22"/>
        </w:rPr>
        <w:t>4</w:t>
      </w:r>
      <w:r w:rsidRPr="00D923A9">
        <w:rPr>
          <w:rFonts w:ascii="Times New Roman" w:hAnsi="Times New Roman"/>
          <w:iCs/>
          <w:color w:val="000000"/>
          <w:sz w:val="22"/>
          <w:szCs w:val="22"/>
          <w:lang w:val="id-ID"/>
        </w:rPr>
        <w:t>,</w:t>
      </w:r>
      <w:r>
        <w:rPr>
          <w:rFonts w:ascii="Times New Roman" w:hAnsi="Times New Roman"/>
          <w:iCs/>
          <w:color w:val="000000"/>
          <w:sz w:val="22"/>
          <w:szCs w:val="22"/>
          <w:lang w:val="en-US"/>
        </w:rPr>
        <w:t xml:space="preserve"> </w:t>
      </w:r>
      <w:r w:rsidRPr="00D923A9">
        <w:rPr>
          <w:rFonts w:ascii="Times New Roman" w:hAnsi="Times New Roman"/>
          <w:iCs/>
          <w:color w:val="000000"/>
          <w:sz w:val="22"/>
          <w:szCs w:val="22"/>
          <w:lang w:val="id-ID"/>
        </w:rPr>
        <w:t>2021</w:t>
      </w:r>
      <w:r>
        <w:rPr>
          <w:rFonts w:ascii="Times New Roman" w:hAnsi="Times New Roman"/>
          <w:iCs/>
          <w:color w:val="000000"/>
          <w:sz w:val="22"/>
          <w:szCs w:val="22"/>
          <w:lang w:val="en-US"/>
        </w:rPr>
        <w:t>, pp.</w:t>
      </w:r>
      <w:r w:rsidRPr="00D923A9">
        <w:rPr>
          <w:rFonts w:ascii="Times New Roman" w:hAnsi="Times New Roman"/>
          <w:iCs/>
          <w:color w:val="000000"/>
          <w:sz w:val="22"/>
          <w:szCs w:val="22"/>
        </w:rPr>
        <w:t xml:space="preserve"> 0329–0337</w:t>
      </w:r>
      <w:r w:rsidRPr="00D923A9">
        <w:rPr>
          <w:rFonts w:ascii="Times New Roman" w:hAnsi="Times New Roman"/>
          <w:iCs/>
          <w:color w:val="000000"/>
          <w:sz w:val="22"/>
          <w:szCs w:val="22"/>
          <w:lang w:val="id-ID"/>
        </w:rPr>
        <w:t xml:space="preserve">. </w:t>
      </w:r>
      <w:hyperlink r:id="rId23" w:history="1">
        <w:r w:rsidRPr="00DA111C">
          <w:rPr>
            <w:rStyle w:val="Hyperlink"/>
            <w:rFonts w:ascii="Times New Roman" w:hAnsi="Times New Roman"/>
            <w:sz w:val="22"/>
            <w:szCs w:val="22"/>
          </w:rPr>
          <w:t>https://doi.org/10.13106/jafeb. 2021.vol8.no4.0329</w:t>
        </w:r>
      </w:hyperlink>
    </w:p>
    <w:p w14:paraId="39EED0C2" w14:textId="37A8697D" w:rsidR="008F21D1" w:rsidRPr="008F21D1" w:rsidRDefault="008F21D1"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Samarwan</w:t>
      </w:r>
      <w:proofErr w:type="spellEnd"/>
      <w:r w:rsidRPr="00D923A9">
        <w:rPr>
          <w:rFonts w:ascii="Times New Roman" w:hAnsi="Times New Roman"/>
          <w:color w:val="000000" w:themeColor="text1"/>
          <w:sz w:val="22"/>
          <w:szCs w:val="22"/>
        </w:rPr>
        <w:t>, U.</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 xml:space="preserve">Consumer </w:t>
      </w:r>
      <w:r w:rsidRPr="00D923A9">
        <w:rPr>
          <w:rFonts w:ascii="Times New Roman" w:hAnsi="Times New Roman"/>
          <w:i/>
          <w:iCs/>
          <w:color w:val="000000" w:themeColor="text1"/>
          <w:sz w:val="22"/>
          <w:szCs w:val="22"/>
          <w:lang w:val="id-ID"/>
        </w:rPr>
        <w:t>B</w:t>
      </w:r>
      <w:proofErr w:type="spellStart"/>
      <w:r w:rsidRPr="00D923A9">
        <w:rPr>
          <w:rFonts w:ascii="Times New Roman" w:hAnsi="Times New Roman"/>
          <w:i/>
          <w:iCs/>
          <w:color w:val="000000" w:themeColor="text1"/>
          <w:sz w:val="22"/>
          <w:szCs w:val="22"/>
        </w:rPr>
        <w:t>ehavior</w:t>
      </w:r>
      <w:proofErr w:type="spellEnd"/>
      <w:r w:rsidRPr="00D923A9">
        <w:rPr>
          <w:rFonts w:ascii="Times New Roman" w:hAnsi="Times New Roman"/>
          <w:i/>
          <w:iCs/>
          <w:color w:val="000000" w:themeColor="text1"/>
          <w:sz w:val="22"/>
          <w:szCs w:val="22"/>
        </w:rPr>
        <w:t>. Theory and Its Application in Marketing</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Bogor: </w:t>
      </w:r>
      <w:proofErr w:type="spellStart"/>
      <w:r w:rsidRPr="00D923A9">
        <w:rPr>
          <w:rFonts w:ascii="Times New Roman" w:hAnsi="Times New Roman"/>
          <w:color w:val="000000" w:themeColor="text1"/>
          <w:sz w:val="22"/>
          <w:szCs w:val="22"/>
        </w:rPr>
        <w:t>Ghalia</w:t>
      </w:r>
      <w:proofErr w:type="spellEnd"/>
      <w:r w:rsidRPr="00D923A9">
        <w:rPr>
          <w:rFonts w:ascii="Times New Roman" w:hAnsi="Times New Roman"/>
          <w:color w:val="000000" w:themeColor="text1"/>
          <w:sz w:val="22"/>
          <w:szCs w:val="22"/>
        </w:rPr>
        <w:t xml:space="preserve"> Indonesia</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2004.</w:t>
      </w:r>
    </w:p>
    <w:p w14:paraId="52E3AB7D" w14:textId="609D140E" w:rsidR="008F21D1" w:rsidRDefault="008F21D1" w:rsidP="004F572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 xml:space="preserve">Batra, R., </w:t>
      </w:r>
      <w:proofErr w:type="spellStart"/>
      <w:r w:rsidRPr="00D923A9">
        <w:rPr>
          <w:rFonts w:ascii="Times New Roman" w:hAnsi="Times New Roman"/>
          <w:color w:val="000000" w:themeColor="text1"/>
          <w:sz w:val="22"/>
          <w:szCs w:val="22"/>
        </w:rPr>
        <w:t>Ahuvia</w:t>
      </w:r>
      <w:proofErr w:type="spellEnd"/>
      <w:r w:rsidRPr="00D923A9">
        <w:rPr>
          <w:rFonts w:ascii="Times New Roman" w:hAnsi="Times New Roman"/>
          <w:color w:val="000000" w:themeColor="text1"/>
          <w:sz w:val="22"/>
          <w:szCs w:val="22"/>
        </w:rPr>
        <w:t xml:space="preserve">, A., &amp; </w:t>
      </w:r>
      <w:proofErr w:type="spellStart"/>
      <w:r w:rsidRPr="00D923A9">
        <w:rPr>
          <w:rFonts w:ascii="Times New Roman" w:hAnsi="Times New Roman"/>
          <w:color w:val="000000" w:themeColor="text1"/>
          <w:sz w:val="22"/>
          <w:szCs w:val="22"/>
        </w:rPr>
        <w:t>Bagozzi</w:t>
      </w:r>
      <w:proofErr w:type="spellEnd"/>
      <w:r w:rsidRPr="00D923A9">
        <w:rPr>
          <w:rFonts w:ascii="Times New Roman" w:hAnsi="Times New Roman"/>
          <w:color w:val="000000" w:themeColor="text1"/>
          <w:sz w:val="22"/>
          <w:szCs w:val="22"/>
        </w:rPr>
        <w:t>, P.R.</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Brand Love</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Journal of Marketing</w:t>
      </w:r>
      <w:r w:rsidRPr="00D923A9">
        <w:rPr>
          <w:rFonts w:ascii="Times New Roman" w:hAnsi="Times New Roman"/>
          <w:color w:val="000000" w:themeColor="text1"/>
          <w:sz w:val="22"/>
          <w:szCs w:val="22"/>
        </w:rPr>
        <w:t>,</w:t>
      </w:r>
      <w:r>
        <w:rPr>
          <w:rFonts w:ascii="Times New Roman" w:hAnsi="Times New Roman"/>
          <w:color w:val="000000" w:themeColor="text1"/>
          <w:sz w:val="22"/>
          <w:szCs w:val="22"/>
        </w:rPr>
        <w:t xml:space="preserve"> Vol.</w:t>
      </w:r>
      <w:r w:rsidRPr="00D923A9">
        <w:rPr>
          <w:rFonts w:ascii="Times New Roman" w:hAnsi="Times New Roman"/>
          <w:color w:val="000000" w:themeColor="text1"/>
          <w:sz w:val="22"/>
          <w:szCs w:val="22"/>
        </w:rPr>
        <w:t xml:space="preserve"> </w:t>
      </w:r>
      <w:r w:rsidRPr="008F21D1">
        <w:rPr>
          <w:rFonts w:ascii="Times New Roman" w:hAnsi="Times New Roman"/>
          <w:color w:val="000000" w:themeColor="text1"/>
          <w:sz w:val="22"/>
          <w:szCs w:val="22"/>
        </w:rPr>
        <w:t>76</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2</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2012,</w:t>
      </w:r>
      <w:r>
        <w:rPr>
          <w:rFonts w:ascii="Times New Roman" w:hAnsi="Times New Roman"/>
          <w:color w:val="000000" w:themeColor="text1"/>
          <w:sz w:val="22"/>
          <w:szCs w:val="22"/>
        </w:rPr>
        <w:t xml:space="preserve"> pp.</w:t>
      </w:r>
      <w:r w:rsidRPr="00D923A9">
        <w:rPr>
          <w:rFonts w:ascii="Times New Roman" w:hAnsi="Times New Roman"/>
          <w:color w:val="000000" w:themeColor="text1"/>
          <w:sz w:val="22"/>
          <w:szCs w:val="22"/>
        </w:rPr>
        <w:t xml:space="preserve"> 1-16.</w:t>
      </w:r>
      <w:r w:rsidRPr="00D923A9">
        <w:rPr>
          <w:rFonts w:ascii="Times New Roman" w:hAnsi="Times New Roman"/>
          <w:color w:val="000000" w:themeColor="text1"/>
          <w:sz w:val="22"/>
          <w:szCs w:val="22"/>
          <w:lang w:val="id-ID"/>
        </w:rPr>
        <w:t xml:space="preserve"> </w:t>
      </w:r>
      <w:hyperlink r:id="rId24" w:history="1">
        <w:r w:rsidRPr="00DA111C">
          <w:rPr>
            <w:rStyle w:val="Hyperlink"/>
            <w:rFonts w:ascii="Times New Roman" w:hAnsi="Times New Roman"/>
            <w:sz w:val="22"/>
            <w:szCs w:val="22"/>
          </w:rPr>
          <w:t>https://doi.org/10.1509%2Fjm. 09.0339</w:t>
        </w:r>
      </w:hyperlink>
    </w:p>
    <w:p w14:paraId="051738F4" w14:textId="400369F9" w:rsidR="008F21D1" w:rsidRPr="008F21D1" w:rsidRDefault="008F21D1" w:rsidP="004F572F">
      <w:pPr>
        <w:pStyle w:val="EndnoteText"/>
        <w:numPr>
          <w:ilvl w:val="0"/>
          <w:numId w:val="3"/>
        </w:numPr>
        <w:tabs>
          <w:tab w:val="clear" w:pos="720"/>
          <w:tab w:val="left" w:pos="426"/>
        </w:tabs>
        <w:spacing w:before="0" w:after="0" w:line="240" w:lineRule="auto"/>
        <w:ind w:left="426" w:hanging="426"/>
        <w:rPr>
          <w:rStyle w:val="Hyperlink"/>
          <w:rFonts w:ascii="Times New Roman" w:hAnsi="Times New Roman"/>
          <w:color w:val="auto"/>
          <w:sz w:val="22"/>
          <w:szCs w:val="22"/>
          <w:u w:val="none"/>
        </w:rPr>
      </w:pPr>
      <w:r w:rsidRPr="00D923A9">
        <w:rPr>
          <w:rFonts w:ascii="Times New Roman" w:hAnsi="Times New Roman"/>
          <w:color w:val="000000" w:themeColor="text1"/>
          <w:sz w:val="22"/>
          <w:szCs w:val="22"/>
          <w:lang w:val="id-ID"/>
        </w:rPr>
        <w:t>Colgate, M. and Hedge, R.</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shd w:val="clear" w:color="auto" w:fill="FFFFFF"/>
          <w:lang w:val="id-ID"/>
        </w:rPr>
        <w:t xml:space="preserve"> An</w:t>
      </w:r>
      <w:r w:rsidRPr="00D923A9">
        <w:rPr>
          <w:rFonts w:ascii="Times New Roman" w:hAnsi="Times New Roman"/>
          <w:color w:val="000000" w:themeColor="text1"/>
          <w:sz w:val="22"/>
          <w:szCs w:val="22"/>
          <w:shd w:val="clear" w:color="auto" w:fill="FFFFFF"/>
        </w:rPr>
        <w:t xml:space="preserve"> Investigation Into The Switching Process In Retail Banking Services</w:t>
      </w:r>
      <w:r>
        <w:rPr>
          <w:rFonts w:ascii="Times New Roman" w:hAnsi="Times New Roman"/>
          <w:color w:val="000000" w:themeColor="text1"/>
          <w:sz w:val="22"/>
          <w:szCs w:val="22"/>
          <w:shd w:val="clear" w:color="auto" w:fill="FFFFFF"/>
          <w:lang w:val="en-US"/>
        </w:rPr>
        <w:t>,</w:t>
      </w:r>
      <w:r w:rsidRPr="00D923A9">
        <w:rPr>
          <w:rFonts w:ascii="Times New Roman" w:hAnsi="Times New Roman"/>
          <w:color w:val="000000" w:themeColor="text1"/>
          <w:sz w:val="22"/>
          <w:szCs w:val="22"/>
          <w:shd w:val="clear" w:color="auto" w:fill="FFFFFF"/>
          <w:lang w:val="id-ID"/>
        </w:rPr>
        <w:t xml:space="preserve"> </w:t>
      </w:r>
      <w:r w:rsidRPr="00D923A9">
        <w:rPr>
          <w:rFonts w:ascii="Times New Roman" w:hAnsi="Times New Roman"/>
          <w:i/>
          <w:color w:val="000000" w:themeColor="text1"/>
          <w:sz w:val="22"/>
          <w:szCs w:val="22"/>
        </w:rPr>
        <w:t>International Journal Of Bank Marketing</w:t>
      </w:r>
      <w:r w:rsidRPr="00D923A9">
        <w:rPr>
          <w:rFonts w:ascii="Times New Roman" w:hAnsi="Times New Roman"/>
          <w:color w:val="000000" w:themeColor="text1"/>
          <w:sz w:val="22"/>
          <w:szCs w:val="22"/>
          <w:lang w:val="id-ID"/>
        </w:rPr>
        <w:t>,</w:t>
      </w:r>
      <w:r w:rsidRPr="00D923A9">
        <w:rPr>
          <w:rFonts w:ascii="Times New Roman" w:hAnsi="Times New Roman"/>
          <w:color w:val="000000" w:themeColor="text1"/>
          <w:sz w:val="22"/>
          <w:szCs w:val="22"/>
        </w:rPr>
        <w:t> </w:t>
      </w:r>
      <w:r>
        <w:rPr>
          <w:rFonts w:ascii="Times New Roman" w:hAnsi="Times New Roman"/>
          <w:color w:val="000000" w:themeColor="text1"/>
          <w:sz w:val="22"/>
          <w:szCs w:val="22"/>
        </w:rPr>
        <w:t xml:space="preserve">Vol. </w:t>
      </w:r>
      <w:r w:rsidRPr="008F21D1">
        <w:rPr>
          <w:rFonts w:ascii="Times New Roman" w:hAnsi="Times New Roman"/>
          <w:iCs/>
          <w:color w:val="000000" w:themeColor="text1"/>
          <w:sz w:val="22"/>
          <w:szCs w:val="22"/>
        </w:rPr>
        <w:t>19</w:t>
      </w:r>
      <w:r>
        <w:rPr>
          <w:rFonts w:ascii="Times New Roman" w:hAnsi="Times New Roman"/>
          <w:iCs/>
          <w:color w:val="000000" w:themeColor="text1"/>
          <w:sz w:val="22"/>
          <w:szCs w:val="22"/>
        </w:rPr>
        <w:t xml:space="preserve">, No. </w:t>
      </w:r>
      <w:r w:rsidRPr="00D923A9">
        <w:rPr>
          <w:rFonts w:ascii="Times New Roman" w:hAnsi="Times New Roman"/>
          <w:color w:val="000000" w:themeColor="text1"/>
          <w:sz w:val="22"/>
          <w:szCs w:val="22"/>
        </w:rPr>
        <w:t>5</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lang w:val="id-ID"/>
        </w:rPr>
        <w:t>2001,</w:t>
      </w:r>
      <w:r>
        <w:rPr>
          <w:rFonts w:ascii="Times New Roman" w:hAnsi="Times New Roman"/>
          <w:color w:val="000000" w:themeColor="text1"/>
          <w:sz w:val="22"/>
          <w:szCs w:val="22"/>
          <w:lang w:val="en-US"/>
        </w:rPr>
        <w:t xml:space="preserve"> pp.</w:t>
      </w:r>
      <w:r w:rsidRPr="00D923A9">
        <w:rPr>
          <w:rFonts w:ascii="Times New Roman" w:hAnsi="Times New Roman"/>
          <w:color w:val="000000" w:themeColor="text1"/>
          <w:sz w:val="22"/>
          <w:szCs w:val="22"/>
          <w:lang w:val="id-ID"/>
        </w:rPr>
        <w:t xml:space="preserve"> </w:t>
      </w:r>
      <w:r w:rsidRPr="00D923A9">
        <w:rPr>
          <w:rFonts w:ascii="Times New Roman" w:hAnsi="Times New Roman"/>
          <w:color w:val="000000" w:themeColor="text1"/>
          <w:sz w:val="22"/>
          <w:szCs w:val="22"/>
        </w:rPr>
        <w:t>201-212</w:t>
      </w:r>
      <w:r w:rsidRPr="00D923A9">
        <w:rPr>
          <w:rFonts w:ascii="Times New Roman" w:hAnsi="Times New Roman"/>
          <w:color w:val="000000" w:themeColor="text1"/>
          <w:sz w:val="22"/>
          <w:szCs w:val="22"/>
          <w:lang w:val="id-ID"/>
        </w:rPr>
        <w:t xml:space="preserve">. </w:t>
      </w:r>
      <w:hyperlink r:id="rId25" w:history="1">
        <w:r w:rsidRPr="00D923A9">
          <w:rPr>
            <w:rStyle w:val="Hyperlink"/>
            <w:rFonts w:ascii="Times New Roman" w:hAnsi="Times New Roman"/>
            <w:sz w:val="22"/>
            <w:szCs w:val="22"/>
          </w:rPr>
          <w:t>https://doi.org/ 10.1108/02652320110400888</w:t>
        </w:r>
      </w:hyperlink>
    </w:p>
    <w:p w14:paraId="5E05427B" w14:textId="3C83A2BE" w:rsidR="008F21D1" w:rsidRPr="004B075B" w:rsidRDefault="008F21D1" w:rsidP="004F572F">
      <w:pPr>
        <w:pStyle w:val="EndnoteText"/>
        <w:numPr>
          <w:ilvl w:val="0"/>
          <w:numId w:val="3"/>
        </w:numPr>
        <w:tabs>
          <w:tab w:val="clear" w:pos="720"/>
          <w:tab w:val="left" w:pos="426"/>
        </w:tabs>
        <w:spacing w:before="0" w:after="0" w:line="240" w:lineRule="auto"/>
        <w:ind w:left="426" w:hanging="426"/>
        <w:rPr>
          <w:rStyle w:val="Hyperlink"/>
          <w:rFonts w:ascii="Times New Roman" w:hAnsi="Times New Roman"/>
          <w:color w:val="auto"/>
          <w:sz w:val="22"/>
          <w:szCs w:val="22"/>
          <w:u w:val="none"/>
        </w:rPr>
      </w:pPr>
      <w:r w:rsidRPr="00D923A9">
        <w:rPr>
          <w:rFonts w:ascii="Times New Roman" w:hAnsi="Times New Roman"/>
          <w:color w:val="000000" w:themeColor="text1"/>
          <w:sz w:val="22"/>
          <w:szCs w:val="22"/>
        </w:rPr>
        <w:t>Subramaniam, R. &amp; Ramachandran, J.</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 xml:space="preserve">Customers’ Switching </w:t>
      </w:r>
      <w:proofErr w:type="spellStart"/>
      <w:r w:rsidRPr="00D923A9">
        <w:rPr>
          <w:rFonts w:ascii="Times New Roman" w:hAnsi="Times New Roman"/>
          <w:color w:val="000000" w:themeColor="text1"/>
          <w:sz w:val="22"/>
          <w:szCs w:val="22"/>
        </w:rPr>
        <w:t>Behavior</w:t>
      </w:r>
      <w:proofErr w:type="spellEnd"/>
      <w:r w:rsidRPr="00D923A9">
        <w:rPr>
          <w:rFonts w:ascii="Times New Roman" w:hAnsi="Times New Roman"/>
          <w:color w:val="000000" w:themeColor="text1"/>
          <w:sz w:val="22"/>
          <w:szCs w:val="22"/>
        </w:rPr>
        <w:t xml:space="preserve"> in Banking Industry-Empirical Evidence From Malaysia</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color w:val="000000" w:themeColor="text1"/>
          <w:sz w:val="22"/>
          <w:szCs w:val="22"/>
        </w:rPr>
        <w:t>International Journal of Business, Economics and Law</w:t>
      </w:r>
      <w:r w:rsidRPr="00D923A9">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Vol. </w:t>
      </w:r>
      <w:r w:rsidRPr="008F21D1">
        <w:rPr>
          <w:rFonts w:ascii="Times New Roman" w:hAnsi="Times New Roman"/>
          <w:iCs/>
          <w:color w:val="000000" w:themeColor="text1"/>
          <w:sz w:val="22"/>
          <w:szCs w:val="22"/>
        </w:rPr>
        <w:t>1</w:t>
      </w:r>
      <w:r w:rsidRPr="00D923A9">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2012</w:t>
      </w:r>
      <w:r>
        <w:rPr>
          <w:rFonts w:ascii="Times New Roman" w:hAnsi="Times New Roman"/>
          <w:color w:val="000000" w:themeColor="text1"/>
          <w:sz w:val="22"/>
          <w:szCs w:val="22"/>
        </w:rPr>
        <w:t>, pp.</w:t>
      </w:r>
      <w:r w:rsidRPr="00D923A9">
        <w:rPr>
          <w:rFonts w:ascii="Times New Roman" w:hAnsi="Times New Roman"/>
          <w:color w:val="000000" w:themeColor="text1"/>
          <w:sz w:val="22"/>
          <w:szCs w:val="22"/>
        </w:rPr>
        <w:t xml:space="preserve"> 156-162</w:t>
      </w:r>
      <w:r w:rsidRPr="00D923A9">
        <w:rPr>
          <w:rFonts w:ascii="Times New Roman" w:hAnsi="Times New Roman"/>
          <w:color w:val="000000" w:themeColor="text1"/>
          <w:sz w:val="22"/>
          <w:szCs w:val="22"/>
          <w:lang w:val="id-ID"/>
        </w:rPr>
        <w:t xml:space="preserve">. </w:t>
      </w:r>
      <w:hyperlink r:id="rId26" w:history="1">
        <w:r w:rsidRPr="00D923A9">
          <w:rPr>
            <w:rStyle w:val="Hyperlink"/>
            <w:rFonts w:ascii="Times New Roman" w:hAnsi="Times New Roman"/>
            <w:sz w:val="22"/>
            <w:szCs w:val="22"/>
          </w:rPr>
          <w:t>http://ijbel.com/wp-content/uploads/2014/06/Customers%E2%80%99-Switching-Behavior-In-Banking-Industry-Empirical-Evidence-From-Malaysia-Dr-Ramaiyer-Subramaniam-Dr-Jayalakshmy-Ramachandran.pdf</w:t>
        </w:r>
      </w:hyperlink>
    </w:p>
    <w:p w14:paraId="210732DC" w14:textId="2E327CE3" w:rsidR="004B075B" w:rsidRPr="008F21D1" w:rsidRDefault="004B075B" w:rsidP="004F572F">
      <w:pPr>
        <w:pStyle w:val="EndnoteText"/>
        <w:numPr>
          <w:ilvl w:val="0"/>
          <w:numId w:val="3"/>
        </w:numPr>
        <w:tabs>
          <w:tab w:val="clear" w:pos="720"/>
          <w:tab w:val="left" w:pos="426"/>
        </w:tabs>
        <w:spacing w:before="0" w:after="0" w:line="240" w:lineRule="auto"/>
        <w:ind w:left="426" w:hanging="426"/>
        <w:rPr>
          <w:rStyle w:val="Hyperlink"/>
          <w:rFonts w:ascii="Times New Roman" w:hAnsi="Times New Roman"/>
          <w:color w:val="auto"/>
          <w:sz w:val="22"/>
          <w:szCs w:val="22"/>
          <w:u w:val="none"/>
        </w:rPr>
      </w:pPr>
      <w:proofErr w:type="spellStart"/>
      <w:r w:rsidRPr="00D923A9">
        <w:rPr>
          <w:rFonts w:ascii="Times New Roman" w:hAnsi="Times New Roman"/>
          <w:color w:val="000000" w:themeColor="text1"/>
          <w:sz w:val="22"/>
          <w:szCs w:val="22"/>
        </w:rPr>
        <w:t>Faisol</w:t>
      </w:r>
      <w:proofErr w:type="spellEnd"/>
      <w:r w:rsidRPr="00D923A9">
        <w:rPr>
          <w:rFonts w:ascii="Times New Roman" w:hAnsi="Times New Roman"/>
          <w:color w:val="000000" w:themeColor="text1"/>
          <w:sz w:val="22"/>
          <w:szCs w:val="22"/>
        </w:rPr>
        <w:t>, S.</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Qualitative Research Formats: Basics And Applications</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Jakarta: </w:t>
      </w:r>
      <w:proofErr w:type="spellStart"/>
      <w:r w:rsidRPr="00D923A9">
        <w:rPr>
          <w:rFonts w:ascii="Times New Roman" w:hAnsi="Times New Roman"/>
          <w:color w:val="000000" w:themeColor="text1"/>
          <w:sz w:val="22"/>
          <w:szCs w:val="22"/>
        </w:rPr>
        <w:t>Rajawali</w:t>
      </w:r>
      <w:proofErr w:type="spellEnd"/>
      <w:r w:rsidRPr="00D923A9">
        <w:rPr>
          <w:rFonts w:ascii="Times New Roman" w:hAnsi="Times New Roman"/>
          <w:color w:val="000000" w:themeColor="text1"/>
          <w:sz w:val="22"/>
          <w:szCs w:val="22"/>
        </w:rPr>
        <w:t xml:space="preserve"> Press</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1995.</w:t>
      </w:r>
    </w:p>
    <w:p w14:paraId="08325ED3" w14:textId="58E669B2" w:rsidR="00D923A9" w:rsidRPr="004B075B" w:rsidRDefault="00D923A9" w:rsidP="008F21D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8F21D1">
        <w:rPr>
          <w:rFonts w:ascii="Times New Roman" w:hAnsi="Times New Roman" w:cs="Times New Roman"/>
          <w:color w:val="000000" w:themeColor="text1"/>
          <w:sz w:val="22"/>
          <w:szCs w:val="22"/>
        </w:rPr>
        <w:t>Arikunto</w:t>
      </w:r>
      <w:proofErr w:type="spellEnd"/>
      <w:r w:rsidRPr="008F21D1">
        <w:rPr>
          <w:rFonts w:ascii="Times New Roman" w:hAnsi="Times New Roman" w:cs="Times New Roman"/>
          <w:color w:val="000000" w:themeColor="text1"/>
          <w:sz w:val="22"/>
          <w:szCs w:val="22"/>
        </w:rPr>
        <w:t>, S.</w:t>
      </w:r>
      <w:r w:rsidR="008F21D1">
        <w:rPr>
          <w:rFonts w:ascii="Times New Roman" w:hAnsi="Times New Roman" w:cs="Times New Roman"/>
          <w:color w:val="000000" w:themeColor="text1"/>
          <w:sz w:val="22"/>
          <w:szCs w:val="22"/>
        </w:rPr>
        <w:t>,</w:t>
      </w:r>
      <w:r w:rsidRPr="008F21D1">
        <w:rPr>
          <w:rFonts w:ascii="Times New Roman" w:hAnsi="Times New Roman" w:cs="Times New Roman"/>
          <w:color w:val="000000" w:themeColor="text1"/>
          <w:sz w:val="22"/>
          <w:szCs w:val="22"/>
        </w:rPr>
        <w:t xml:space="preserve"> </w:t>
      </w:r>
      <w:r w:rsidRPr="008F21D1">
        <w:rPr>
          <w:rFonts w:ascii="Times New Roman" w:hAnsi="Times New Roman" w:cs="Times New Roman"/>
          <w:i/>
          <w:iCs/>
          <w:color w:val="000000" w:themeColor="text1"/>
          <w:sz w:val="22"/>
          <w:szCs w:val="22"/>
        </w:rPr>
        <w:t>Research Procedure A Practical Approach</w:t>
      </w:r>
      <w:r w:rsidR="004B075B" w:rsidRPr="004B075B">
        <w:rPr>
          <w:rFonts w:ascii="Times New Roman" w:hAnsi="Times New Roman" w:cs="Times New Roman"/>
          <w:color w:val="000000" w:themeColor="text1"/>
          <w:sz w:val="22"/>
          <w:szCs w:val="22"/>
        </w:rPr>
        <w:t>,</w:t>
      </w:r>
      <w:r w:rsidRPr="008F21D1">
        <w:rPr>
          <w:rFonts w:ascii="Times New Roman" w:hAnsi="Times New Roman" w:cs="Times New Roman"/>
          <w:i/>
          <w:iCs/>
          <w:color w:val="000000" w:themeColor="text1"/>
          <w:sz w:val="22"/>
          <w:szCs w:val="22"/>
        </w:rPr>
        <w:t xml:space="preserve"> </w:t>
      </w:r>
      <w:r w:rsidRPr="008F21D1">
        <w:rPr>
          <w:rFonts w:ascii="Times New Roman" w:hAnsi="Times New Roman" w:cs="Times New Roman"/>
          <w:color w:val="000000" w:themeColor="text1"/>
          <w:sz w:val="22"/>
          <w:szCs w:val="22"/>
        </w:rPr>
        <w:t xml:space="preserve">Jakarta: </w:t>
      </w:r>
      <w:proofErr w:type="spellStart"/>
      <w:r w:rsidRPr="008F21D1">
        <w:rPr>
          <w:rFonts w:ascii="Times New Roman" w:hAnsi="Times New Roman" w:cs="Times New Roman"/>
          <w:color w:val="000000" w:themeColor="text1"/>
          <w:sz w:val="22"/>
          <w:szCs w:val="22"/>
        </w:rPr>
        <w:t>Rineka</w:t>
      </w:r>
      <w:proofErr w:type="spellEnd"/>
      <w:r w:rsidRPr="008F21D1">
        <w:rPr>
          <w:rFonts w:ascii="Times New Roman" w:hAnsi="Times New Roman" w:cs="Times New Roman"/>
          <w:color w:val="000000" w:themeColor="text1"/>
          <w:sz w:val="22"/>
          <w:szCs w:val="22"/>
        </w:rPr>
        <w:t xml:space="preserve"> </w:t>
      </w:r>
      <w:proofErr w:type="spellStart"/>
      <w:r w:rsidRPr="008F21D1">
        <w:rPr>
          <w:rFonts w:ascii="Times New Roman" w:hAnsi="Times New Roman" w:cs="Times New Roman"/>
          <w:color w:val="000000" w:themeColor="text1"/>
          <w:sz w:val="22"/>
          <w:szCs w:val="22"/>
        </w:rPr>
        <w:t>Cipta</w:t>
      </w:r>
      <w:proofErr w:type="spellEnd"/>
      <w:r w:rsidR="004B075B">
        <w:rPr>
          <w:rFonts w:ascii="Times New Roman" w:hAnsi="Times New Roman" w:cs="Times New Roman"/>
          <w:color w:val="000000" w:themeColor="text1"/>
          <w:sz w:val="22"/>
          <w:szCs w:val="22"/>
        </w:rPr>
        <w:t xml:space="preserve">, </w:t>
      </w:r>
      <w:r w:rsidR="004B075B" w:rsidRPr="008F21D1">
        <w:rPr>
          <w:rFonts w:ascii="Times New Roman" w:hAnsi="Times New Roman" w:cs="Times New Roman"/>
          <w:color w:val="000000" w:themeColor="text1"/>
          <w:sz w:val="22"/>
          <w:szCs w:val="22"/>
        </w:rPr>
        <w:t>2006</w:t>
      </w:r>
      <w:r w:rsidRPr="008F21D1">
        <w:rPr>
          <w:rFonts w:ascii="Times New Roman" w:hAnsi="Times New Roman" w:cs="Times New Roman"/>
          <w:color w:val="000000" w:themeColor="text1"/>
          <w:sz w:val="22"/>
          <w:szCs w:val="22"/>
        </w:rPr>
        <w:t>.</w:t>
      </w:r>
    </w:p>
    <w:p w14:paraId="1A71BD0A" w14:textId="41425548" w:rsidR="004B075B" w:rsidRPr="004B075B" w:rsidRDefault="004B075B" w:rsidP="008F21D1">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rPr>
        <w:t>Lincoln</w:t>
      </w:r>
      <w:r w:rsidRPr="00D923A9">
        <w:rPr>
          <w:rFonts w:ascii="Times New Roman" w:hAnsi="Times New Roman"/>
          <w:color w:val="000000" w:themeColor="text1"/>
          <w:sz w:val="22"/>
          <w:szCs w:val="22"/>
          <w:lang w:val="id-ID"/>
        </w:rPr>
        <w:t>, Y.S.</w:t>
      </w:r>
      <w:r w:rsidRPr="00D923A9">
        <w:rPr>
          <w:rFonts w:ascii="Times New Roman" w:hAnsi="Times New Roman"/>
          <w:color w:val="000000" w:themeColor="text1"/>
          <w:sz w:val="22"/>
          <w:szCs w:val="22"/>
        </w:rPr>
        <w:t xml:space="preserve"> &amp; Denzin</w:t>
      </w:r>
      <w:r w:rsidRPr="00D923A9">
        <w:rPr>
          <w:rFonts w:ascii="Times New Roman" w:hAnsi="Times New Roman"/>
          <w:color w:val="000000" w:themeColor="text1"/>
          <w:sz w:val="22"/>
          <w:szCs w:val="22"/>
          <w:lang w:val="id-ID"/>
        </w:rPr>
        <w:t>, N.K</w:t>
      </w:r>
      <w:r w:rsidRPr="00D923A9">
        <w:rPr>
          <w:rFonts w:ascii="Times New Roman" w:hAnsi="Times New Roman"/>
          <w:color w:val="000000" w:themeColor="text1"/>
          <w:sz w:val="22"/>
          <w:szCs w:val="22"/>
        </w:rPr>
        <w:t>.</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 xml:space="preserve">Handbook Qualitative Research, </w:t>
      </w:r>
      <w:proofErr w:type="spellStart"/>
      <w:r w:rsidRPr="00D923A9">
        <w:rPr>
          <w:rFonts w:ascii="Times New Roman" w:hAnsi="Times New Roman"/>
          <w:i/>
          <w:iCs/>
          <w:color w:val="000000" w:themeColor="text1"/>
          <w:sz w:val="22"/>
          <w:szCs w:val="22"/>
        </w:rPr>
        <w:t>Diterjemahkan</w:t>
      </w:r>
      <w:proofErr w:type="spellEnd"/>
      <w:r w:rsidRPr="00D923A9">
        <w:rPr>
          <w:rFonts w:ascii="Times New Roman" w:hAnsi="Times New Roman"/>
          <w:i/>
          <w:iCs/>
          <w:color w:val="000000" w:themeColor="text1"/>
          <w:sz w:val="22"/>
          <w:szCs w:val="22"/>
        </w:rPr>
        <w:t xml:space="preserve"> Oleh </w:t>
      </w:r>
      <w:proofErr w:type="spellStart"/>
      <w:r w:rsidRPr="00D923A9">
        <w:rPr>
          <w:rFonts w:ascii="Times New Roman" w:hAnsi="Times New Roman"/>
          <w:i/>
          <w:iCs/>
          <w:color w:val="000000" w:themeColor="text1"/>
          <w:sz w:val="22"/>
          <w:szCs w:val="22"/>
        </w:rPr>
        <w:t>Dariyatno</w:t>
      </w:r>
      <w:proofErr w:type="spellEnd"/>
      <w:r w:rsidRPr="00D923A9">
        <w:rPr>
          <w:rFonts w:ascii="Times New Roman" w:hAnsi="Times New Roman"/>
          <w:i/>
          <w:iCs/>
          <w:color w:val="000000" w:themeColor="text1"/>
          <w:sz w:val="22"/>
          <w:szCs w:val="22"/>
        </w:rPr>
        <w:t xml:space="preserve">, </w:t>
      </w:r>
      <w:proofErr w:type="spellStart"/>
      <w:r w:rsidRPr="00D923A9">
        <w:rPr>
          <w:rFonts w:ascii="Times New Roman" w:hAnsi="Times New Roman"/>
          <w:i/>
          <w:iCs/>
          <w:color w:val="000000" w:themeColor="text1"/>
          <w:sz w:val="22"/>
          <w:szCs w:val="22"/>
        </w:rPr>
        <w:t>Badrus</w:t>
      </w:r>
      <w:proofErr w:type="spellEnd"/>
      <w:r w:rsidRPr="00D923A9">
        <w:rPr>
          <w:rFonts w:ascii="Times New Roman" w:hAnsi="Times New Roman"/>
          <w:i/>
          <w:iCs/>
          <w:color w:val="000000" w:themeColor="text1"/>
          <w:sz w:val="22"/>
          <w:szCs w:val="22"/>
        </w:rPr>
        <w:t xml:space="preserve"> </w:t>
      </w:r>
      <w:proofErr w:type="spellStart"/>
      <w:r w:rsidRPr="00D923A9">
        <w:rPr>
          <w:rFonts w:ascii="Times New Roman" w:hAnsi="Times New Roman"/>
          <w:i/>
          <w:iCs/>
          <w:color w:val="000000" w:themeColor="text1"/>
          <w:sz w:val="22"/>
          <w:szCs w:val="22"/>
        </w:rPr>
        <w:t>Samsu</w:t>
      </w:r>
      <w:proofErr w:type="spellEnd"/>
      <w:r w:rsidRPr="00D923A9">
        <w:rPr>
          <w:rFonts w:ascii="Times New Roman" w:hAnsi="Times New Roman"/>
          <w:i/>
          <w:iCs/>
          <w:color w:val="000000" w:themeColor="text1"/>
          <w:sz w:val="22"/>
          <w:szCs w:val="22"/>
        </w:rPr>
        <w:t xml:space="preserve"> Fata, Abi, John Rinaldi</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4B075B">
        <w:rPr>
          <w:rFonts w:ascii="Times New Roman" w:hAnsi="Times New Roman"/>
          <w:i/>
          <w:iCs/>
          <w:color w:val="000000" w:themeColor="text1"/>
          <w:sz w:val="22"/>
          <w:szCs w:val="22"/>
        </w:rPr>
        <w:t>Cet. 1</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 xml:space="preserve">Yogyakarta: Pustaka </w:t>
      </w:r>
      <w:proofErr w:type="spellStart"/>
      <w:r w:rsidRPr="00D923A9">
        <w:rPr>
          <w:rFonts w:ascii="Times New Roman" w:hAnsi="Times New Roman"/>
          <w:color w:val="000000" w:themeColor="text1"/>
          <w:sz w:val="22"/>
          <w:szCs w:val="22"/>
        </w:rPr>
        <w:t>Pelajar</w:t>
      </w:r>
      <w:proofErr w:type="spellEnd"/>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2009.</w:t>
      </w:r>
    </w:p>
    <w:p w14:paraId="73298DE9" w14:textId="77777777" w:rsidR="004B075B" w:rsidRPr="004B075B" w:rsidRDefault="004B075B" w:rsidP="004B075B">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Sugiyono</w:t>
      </w:r>
      <w:proofErr w:type="spellEnd"/>
      <w:r w:rsidRPr="00D923A9">
        <w:rPr>
          <w:rFonts w:ascii="Times New Roman" w:hAnsi="Times New Roman"/>
          <w:color w:val="000000" w:themeColor="text1"/>
          <w:sz w:val="22"/>
          <w:szCs w:val="22"/>
          <w:lang w:val="id-ID"/>
        </w:rPr>
        <w:t>, S.</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Understanding Qualitative Research</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 xml:space="preserve">Jakarta: </w:t>
      </w:r>
      <w:proofErr w:type="spellStart"/>
      <w:r w:rsidRPr="00D923A9">
        <w:rPr>
          <w:rFonts w:ascii="Times New Roman" w:hAnsi="Times New Roman"/>
          <w:color w:val="000000" w:themeColor="text1"/>
          <w:sz w:val="22"/>
          <w:szCs w:val="22"/>
        </w:rPr>
        <w:t>Bumi</w:t>
      </w:r>
      <w:proofErr w:type="spellEnd"/>
      <w:r w:rsidRPr="00D923A9">
        <w:rPr>
          <w:rFonts w:ascii="Times New Roman" w:hAnsi="Times New Roman"/>
          <w:color w:val="000000" w:themeColor="text1"/>
          <w:sz w:val="22"/>
          <w:szCs w:val="22"/>
        </w:rPr>
        <w:t xml:space="preserve"> </w:t>
      </w:r>
      <w:proofErr w:type="spellStart"/>
      <w:r w:rsidRPr="00D923A9">
        <w:rPr>
          <w:rFonts w:ascii="Times New Roman" w:hAnsi="Times New Roman"/>
          <w:color w:val="000000" w:themeColor="text1"/>
          <w:sz w:val="22"/>
          <w:szCs w:val="22"/>
        </w:rPr>
        <w:t>Aksara</w:t>
      </w:r>
      <w:proofErr w:type="spellEnd"/>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2012.</w:t>
      </w:r>
    </w:p>
    <w:p w14:paraId="6C607FB3" w14:textId="4D57F79D" w:rsidR="004B075B" w:rsidRPr="004B075B" w:rsidRDefault="004B075B" w:rsidP="004B075B">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Drost</w:t>
      </w:r>
      <w:proofErr w:type="spellEnd"/>
      <w:r w:rsidRPr="00D923A9">
        <w:rPr>
          <w:rFonts w:ascii="Times New Roman" w:hAnsi="Times New Roman"/>
          <w:color w:val="000000" w:themeColor="text1"/>
          <w:sz w:val="22"/>
          <w:szCs w:val="22"/>
        </w:rPr>
        <w:t>, E.A.</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Validity and Reliability in Social Science Research</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Education Research and Perspectives,</w:t>
      </w:r>
      <w:r>
        <w:rPr>
          <w:rFonts w:ascii="Times New Roman" w:hAnsi="Times New Roman"/>
          <w:i/>
          <w:iCs/>
          <w:color w:val="000000" w:themeColor="text1"/>
          <w:sz w:val="22"/>
          <w:szCs w:val="22"/>
        </w:rPr>
        <w:t xml:space="preserve"> </w:t>
      </w:r>
      <w:r>
        <w:rPr>
          <w:rFonts w:ascii="Times New Roman" w:hAnsi="Times New Roman"/>
          <w:color w:val="000000" w:themeColor="text1"/>
          <w:sz w:val="22"/>
          <w:szCs w:val="22"/>
        </w:rPr>
        <w:t>Vol.</w:t>
      </w:r>
      <w:r w:rsidRPr="004B075B">
        <w:rPr>
          <w:rFonts w:ascii="Times New Roman" w:hAnsi="Times New Roman"/>
          <w:iCs/>
          <w:color w:val="000000" w:themeColor="text1"/>
          <w:sz w:val="22"/>
          <w:szCs w:val="22"/>
        </w:rPr>
        <w:t xml:space="preserve"> 38</w:t>
      </w:r>
      <w:r>
        <w:rPr>
          <w:rFonts w:ascii="Times New Roman" w:hAnsi="Times New Roman"/>
          <w:color w:val="000000" w:themeColor="text1"/>
          <w:sz w:val="22"/>
          <w:szCs w:val="22"/>
        </w:rPr>
        <w:t xml:space="preserve">, No. </w:t>
      </w:r>
      <w:r w:rsidRPr="00D923A9">
        <w:rPr>
          <w:rFonts w:ascii="Times New Roman" w:hAnsi="Times New Roman"/>
          <w:color w:val="000000" w:themeColor="text1"/>
          <w:sz w:val="22"/>
          <w:szCs w:val="22"/>
        </w:rPr>
        <w:t>1,</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2011</w:t>
      </w:r>
      <w:r>
        <w:rPr>
          <w:rFonts w:ascii="Times New Roman" w:hAnsi="Times New Roman"/>
          <w:color w:val="000000" w:themeColor="text1"/>
          <w:sz w:val="22"/>
          <w:szCs w:val="22"/>
        </w:rPr>
        <w:t>, pp.</w:t>
      </w:r>
      <w:r w:rsidRPr="00D923A9">
        <w:rPr>
          <w:rFonts w:ascii="Times New Roman" w:hAnsi="Times New Roman"/>
          <w:color w:val="000000" w:themeColor="text1"/>
          <w:sz w:val="22"/>
          <w:szCs w:val="22"/>
        </w:rPr>
        <w:t xml:space="preserve"> 105 – 123.</w:t>
      </w:r>
      <w:r w:rsidRPr="00D923A9">
        <w:rPr>
          <w:rFonts w:ascii="Times New Roman" w:hAnsi="Times New Roman"/>
          <w:color w:val="000000" w:themeColor="text1"/>
          <w:sz w:val="22"/>
          <w:szCs w:val="22"/>
          <w:lang w:val="id-ID"/>
        </w:rPr>
        <w:t xml:space="preserve"> </w:t>
      </w:r>
      <w:hyperlink r:id="rId27" w:history="1">
        <w:r w:rsidRPr="00DA111C">
          <w:rPr>
            <w:rStyle w:val="Hyperlink"/>
            <w:rFonts w:ascii="Times New Roman" w:hAnsi="Times New Roman"/>
            <w:sz w:val="22"/>
            <w:szCs w:val="22"/>
          </w:rPr>
          <w:t>https://www3.nd.edu/~ggoertz/sgameth/ Drost2011.pdf</w:t>
        </w:r>
      </w:hyperlink>
    </w:p>
    <w:p w14:paraId="36B63BD1" w14:textId="473E1502" w:rsidR="004B075B" w:rsidRPr="004B075B" w:rsidRDefault="00D923A9" w:rsidP="004B075B">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4B075B">
        <w:rPr>
          <w:rFonts w:ascii="Times New Roman" w:hAnsi="Times New Roman" w:cs="Times New Roman"/>
          <w:color w:val="000000" w:themeColor="text1"/>
          <w:sz w:val="22"/>
          <w:szCs w:val="22"/>
          <w:lang w:val="id-ID"/>
        </w:rPr>
        <w:t>Baehaki, F., Nahadi, and Firman, H.</w:t>
      </w:r>
      <w:r w:rsidR="004B075B">
        <w:rPr>
          <w:rFonts w:ascii="Times New Roman" w:hAnsi="Times New Roman" w:cs="Times New Roman"/>
          <w:color w:val="000000" w:themeColor="text1"/>
          <w:sz w:val="22"/>
          <w:szCs w:val="22"/>
          <w:lang w:val="en-US"/>
        </w:rPr>
        <w:t>,</w:t>
      </w:r>
      <w:r w:rsidRPr="004B075B">
        <w:rPr>
          <w:rFonts w:ascii="Times New Roman" w:hAnsi="Times New Roman" w:cs="Times New Roman"/>
          <w:color w:val="000000" w:themeColor="text1"/>
          <w:sz w:val="22"/>
          <w:szCs w:val="22"/>
          <w:lang w:val="id-ID"/>
        </w:rPr>
        <w:t xml:space="preserve"> Development of Reasoning Based Multiple Choice Test to Measure Mastery of Chemical Equilibrium Material</w:t>
      </w:r>
      <w:r w:rsidR="004B075B">
        <w:rPr>
          <w:rFonts w:ascii="Times New Roman" w:hAnsi="Times New Roman" w:cs="Times New Roman"/>
          <w:color w:val="000000" w:themeColor="text1"/>
          <w:sz w:val="22"/>
          <w:szCs w:val="22"/>
          <w:lang w:val="en-US"/>
        </w:rPr>
        <w:t>,</w:t>
      </w:r>
      <w:r w:rsidRPr="004B075B">
        <w:rPr>
          <w:rFonts w:ascii="Times New Roman" w:hAnsi="Times New Roman" w:cs="Times New Roman"/>
          <w:color w:val="000000" w:themeColor="text1"/>
          <w:sz w:val="22"/>
          <w:szCs w:val="22"/>
          <w:lang w:val="id-ID"/>
        </w:rPr>
        <w:t xml:space="preserve"> </w:t>
      </w:r>
      <w:r w:rsidRPr="004B075B">
        <w:rPr>
          <w:rFonts w:ascii="Times New Roman" w:hAnsi="Times New Roman" w:cs="Times New Roman"/>
          <w:i/>
          <w:color w:val="000000" w:themeColor="text1"/>
          <w:sz w:val="22"/>
          <w:szCs w:val="22"/>
          <w:lang w:val="id-ID"/>
        </w:rPr>
        <w:t xml:space="preserve">Seminar Nasional Kimia </w:t>
      </w:r>
      <w:r w:rsidRPr="004B075B">
        <w:rPr>
          <w:rFonts w:ascii="Times New Roman" w:hAnsi="Times New Roman" w:cs="Times New Roman"/>
          <w:i/>
          <w:color w:val="000000" w:themeColor="text1"/>
          <w:sz w:val="22"/>
          <w:szCs w:val="22"/>
          <w:lang w:val="id-ID"/>
        </w:rPr>
        <w:t>dan Pendidikan Kimia IX (SNKPK IX)</w:t>
      </w:r>
      <w:r w:rsidR="004B075B">
        <w:rPr>
          <w:rFonts w:ascii="Times New Roman" w:hAnsi="Times New Roman" w:cs="Times New Roman"/>
          <w:color w:val="000000" w:themeColor="text1"/>
          <w:sz w:val="22"/>
          <w:szCs w:val="22"/>
          <w:lang w:val="en-US"/>
        </w:rPr>
        <w:t>,</w:t>
      </w:r>
      <w:r w:rsidRPr="004B075B">
        <w:rPr>
          <w:rFonts w:ascii="Times New Roman" w:hAnsi="Times New Roman" w:cs="Times New Roman"/>
          <w:color w:val="000000" w:themeColor="text1"/>
          <w:sz w:val="22"/>
          <w:szCs w:val="22"/>
          <w:lang w:val="id-ID"/>
        </w:rPr>
        <w:t xml:space="preserve"> Solo : Universitas Sebelas Maret</w:t>
      </w:r>
      <w:r w:rsidR="004B075B">
        <w:rPr>
          <w:rFonts w:ascii="Times New Roman" w:hAnsi="Times New Roman" w:cs="Times New Roman"/>
          <w:color w:val="000000" w:themeColor="text1"/>
          <w:sz w:val="22"/>
          <w:szCs w:val="22"/>
          <w:lang w:val="en-US"/>
        </w:rPr>
        <w:t xml:space="preserve">, </w:t>
      </w:r>
      <w:r w:rsidR="004B075B" w:rsidRPr="004B075B">
        <w:rPr>
          <w:rFonts w:ascii="Times New Roman" w:hAnsi="Times New Roman" w:cs="Times New Roman"/>
          <w:color w:val="000000" w:themeColor="text1"/>
          <w:sz w:val="22"/>
          <w:szCs w:val="22"/>
          <w:lang w:val="id-ID"/>
        </w:rPr>
        <w:t>2017</w:t>
      </w:r>
      <w:r w:rsidRPr="004B075B">
        <w:rPr>
          <w:rFonts w:ascii="Times New Roman" w:hAnsi="Times New Roman" w:cs="Times New Roman"/>
          <w:color w:val="000000" w:themeColor="text1"/>
          <w:sz w:val="22"/>
          <w:szCs w:val="22"/>
          <w:lang w:val="id-ID"/>
        </w:rPr>
        <w:t>.</w:t>
      </w:r>
    </w:p>
    <w:p w14:paraId="33B8C22C" w14:textId="6C6B6C64" w:rsidR="004B075B" w:rsidRPr="004B075B" w:rsidRDefault="004B075B" w:rsidP="004B075B">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D923A9">
        <w:rPr>
          <w:rFonts w:ascii="Times New Roman" w:hAnsi="Times New Roman"/>
          <w:color w:val="000000" w:themeColor="text1"/>
          <w:sz w:val="22"/>
          <w:szCs w:val="22"/>
        </w:rPr>
        <w:t>Firman</w:t>
      </w:r>
      <w:proofErr w:type="spellEnd"/>
      <w:r w:rsidRPr="00D923A9">
        <w:rPr>
          <w:rFonts w:ascii="Times New Roman" w:hAnsi="Times New Roman"/>
          <w:color w:val="000000" w:themeColor="text1"/>
          <w:sz w:val="22"/>
          <w:szCs w:val="22"/>
        </w:rPr>
        <w:t>, H.</w:t>
      </w:r>
      <w:r>
        <w:rPr>
          <w:rFonts w:ascii="Times New Roman" w:hAnsi="Times New Roman"/>
          <w:color w:val="000000" w:themeColor="text1"/>
          <w:sz w:val="22"/>
          <w:szCs w:val="22"/>
        </w:rPr>
        <w:t>,</w:t>
      </w:r>
      <w:r w:rsidRPr="00D923A9">
        <w:rPr>
          <w:rFonts w:ascii="Times New Roman" w:hAnsi="Times New Roman"/>
          <w:color w:val="000000" w:themeColor="text1"/>
          <w:sz w:val="22"/>
          <w:szCs w:val="22"/>
        </w:rPr>
        <w:t xml:space="preserve"> </w:t>
      </w:r>
      <w:r w:rsidRPr="00D923A9">
        <w:rPr>
          <w:rFonts w:ascii="Times New Roman" w:hAnsi="Times New Roman"/>
          <w:i/>
          <w:iCs/>
          <w:color w:val="000000" w:themeColor="text1"/>
          <w:sz w:val="22"/>
          <w:szCs w:val="22"/>
        </w:rPr>
        <w:t>Assessment of Learning Outcomes in Teaching Chemistry</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Bandung: PMIPA UPI</w:t>
      </w:r>
      <w:r>
        <w:rPr>
          <w:rFonts w:ascii="Times New Roman" w:hAnsi="Times New Roman"/>
          <w:color w:val="000000" w:themeColor="text1"/>
          <w:sz w:val="22"/>
          <w:szCs w:val="22"/>
        </w:rPr>
        <w:t xml:space="preserve">, </w:t>
      </w:r>
      <w:r w:rsidRPr="00D923A9">
        <w:rPr>
          <w:rFonts w:ascii="Times New Roman" w:hAnsi="Times New Roman"/>
          <w:color w:val="000000" w:themeColor="text1"/>
          <w:sz w:val="22"/>
          <w:szCs w:val="22"/>
        </w:rPr>
        <w:t>2000.</w:t>
      </w:r>
    </w:p>
    <w:p w14:paraId="702A16E3" w14:textId="19E62200" w:rsidR="004B075B" w:rsidRDefault="004B075B" w:rsidP="004B075B">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Fariz, N.M., Mohammed, N.F., Zulkepli, N.S., and Kamaluddin, A.</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bCs/>
          <w:color w:val="000000" w:themeColor="text1"/>
          <w:sz w:val="22"/>
          <w:szCs w:val="22"/>
        </w:rPr>
        <w:t>Accounting Conservatism And Financial Performance: Accountability Of Shariah Compliant Companies In Malaysia</w:t>
      </w:r>
      <w:r>
        <w:rPr>
          <w:rFonts w:ascii="Times New Roman" w:hAnsi="Times New Roman"/>
          <w:bCs/>
          <w:color w:val="000000" w:themeColor="text1"/>
          <w:sz w:val="22"/>
          <w:szCs w:val="22"/>
          <w:lang w:val="en-US"/>
        </w:rPr>
        <w:t>,</w:t>
      </w:r>
      <w:r w:rsidRPr="00D923A9">
        <w:rPr>
          <w:rFonts w:ascii="Times New Roman" w:hAnsi="Times New Roman"/>
          <w:bCs/>
          <w:color w:val="000000" w:themeColor="text1"/>
          <w:sz w:val="22"/>
          <w:szCs w:val="22"/>
          <w:lang w:val="id-ID"/>
        </w:rPr>
        <w:t xml:space="preserve"> </w:t>
      </w:r>
      <w:r w:rsidRPr="00D923A9">
        <w:rPr>
          <w:rFonts w:ascii="Times New Roman" w:hAnsi="Times New Roman"/>
          <w:bCs/>
          <w:i/>
          <w:color w:val="000000" w:themeColor="text1"/>
          <w:sz w:val="22"/>
          <w:szCs w:val="22"/>
        </w:rPr>
        <w:t>Humanities and Social Sciences Letters</w:t>
      </w:r>
      <w:r w:rsidRPr="00D923A9">
        <w:rPr>
          <w:rFonts w:ascii="Times New Roman" w:hAnsi="Times New Roman"/>
          <w:bCs/>
          <w:color w:val="000000" w:themeColor="text1"/>
          <w:sz w:val="22"/>
          <w:szCs w:val="22"/>
          <w:lang w:val="id-ID"/>
        </w:rPr>
        <w:t>,</w:t>
      </w:r>
      <w:r>
        <w:rPr>
          <w:rFonts w:ascii="Times New Roman" w:hAnsi="Times New Roman"/>
          <w:bCs/>
          <w:color w:val="000000" w:themeColor="text1"/>
          <w:sz w:val="22"/>
          <w:szCs w:val="22"/>
          <w:lang w:val="en-US"/>
        </w:rPr>
        <w:t xml:space="preserve"> Vol.</w:t>
      </w:r>
      <w:r w:rsidRPr="00D923A9">
        <w:rPr>
          <w:rFonts w:ascii="Times New Roman" w:hAnsi="Times New Roman"/>
          <w:bCs/>
          <w:color w:val="000000" w:themeColor="text1"/>
          <w:sz w:val="22"/>
          <w:szCs w:val="22"/>
          <w:lang w:val="id-ID"/>
        </w:rPr>
        <w:t xml:space="preserve"> </w:t>
      </w:r>
      <w:r w:rsidRPr="004B075B">
        <w:rPr>
          <w:rFonts w:ascii="Times New Roman" w:hAnsi="Times New Roman"/>
          <w:bCs/>
          <w:iCs/>
          <w:color w:val="000000" w:themeColor="text1"/>
          <w:sz w:val="22"/>
          <w:szCs w:val="22"/>
          <w:lang w:val="id-ID"/>
        </w:rPr>
        <w:t>8</w:t>
      </w:r>
      <w:r>
        <w:rPr>
          <w:rFonts w:ascii="Times New Roman" w:hAnsi="Times New Roman"/>
          <w:bCs/>
          <w:i/>
          <w:color w:val="000000" w:themeColor="text1"/>
          <w:sz w:val="22"/>
          <w:szCs w:val="22"/>
          <w:lang w:val="en-US"/>
        </w:rPr>
        <w:t xml:space="preserve">, No. </w:t>
      </w:r>
      <w:r w:rsidRPr="00D923A9">
        <w:rPr>
          <w:rFonts w:ascii="Times New Roman" w:hAnsi="Times New Roman"/>
          <w:bCs/>
          <w:color w:val="000000" w:themeColor="text1"/>
          <w:sz w:val="22"/>
          <w:szCs w:val="22"/>
          <w:lang w:val="id-ID"/>
        </w:rPr>
        <w:t>3,</w:t>
      </w:r>
      <w:r>
        <w:rPr>
          <w:rFonts w:ascii="Times New Roman" w:hAnsi="Times New Roman"/>
          <w:bCs/>
          <w:color w:val="000000" w:themeColor="text1"/>
          <w:sz w:val="22"/>
          <w:szCs w:val="22"/>
          <w:lang w:val="en-US"/>
        </w:rPr>
        <w:t xml:space="preserve"> </w:t>
      </w:r>
      <w:r w:rsidRPr="00D923A9">
        <w:rPr>
          <w:rFonts w:ascii="Times New Roman" w:hAnsi="Times New Roman"/>
          <w:color w:val="000000" w:themeColor="text1"/>
          <w:sz w:val="22"/>
          <w:szCs w:val="22"/>
          <w:lang w:val="id-ID"/>
        </w:rPr>
        <w:t>2020</w:t>
      </w:r>
      <w:r>
        <w:rPr>
          <w:rFonts w:ascii="Times New Roman" w:hAnsi="Times New Roman"/>
          <w:color w:val="000000" w:themeColor="text1"/>
          <w:sz w:val="22"/>
          <w:szCs w:val="22"/>
          <w:lang w:val="en-US"/>
        </w:rPr>
        <w:t>,</w:t>
      </w:r>
      <w:r w:rsidRPr="00D923A9">
        <w:rPr>
          <w:rFonts w:ascii="Times New Roman" w:hAnsi="Times New Roman"/>
          <w:bCs/>
          <w:color w:val="000000" w:themeColor="text1"/>
          <w:sz w:val="22"/>
          <w:szCs w:val="22"/>
          <w:lang w:val="id-ID"/>
        </w:rPr>
        <w:t xml:space="preserve"> </w:t>
      </w:r>
      <w:r>
        <w:rPr>
          <w:rFonts w:ascii="Times New Roman" w:hAnsi="Times New Roman"/>
          <w:bCs/>
          <w:color w:val="000000" w:themeColor="text1"/>
          <w:sz w:val="22"/>
          <w:szCs w:val="22"/>
          <w:lang w:val="en-US"/>
        </w:rPr>
        <w:t xml:space="preserve">pp. </w:t>
      </w:r>
      <w:r w:rsidRPr="00D923A9">
        <w:rPr>
          <w:rFonts w:ascii="Times New Roman" w:hAnsi="Times New Roman"/>
          <w:bCs/>
          <w:color w:val="000000" w:themeColor="text1"/>
          <w:sz w:val="22"/>
          <w:szCs w:val="22"/>
          <w:lang w:val="id-ID"/>
        </w:rPr>
        <w:t xml:space="preserve">280-297. </w:t>
      </w:r>
      <w:hyperlink r:id="rId28" w:history="1">
        <w:r w:rsidRPr="00DA111C">
          <w:rPr>
            <w:rStyle w:val="Hyperlink"/>
            <w:rFonts w:ascii="Times New Roman" w:hAnsi="Times New Roman"/>
            <w:sz w:val="22"/>
            <w:szCs w:val="22"/>
          </w:rPr>
          <w:t xml:space="preserve">https://www/doi.org/ </w:t>
        </w:r>
        <w:r w:rsidRPr="00DA111C">
          <w:rPr>
            <w:rStyle w:val="Hyperlink"/>
            <w:rFonts w:ascii="Times New Roman" w:hAnsi="Times New Roman"/>
            <w:sz w:val="22"/>
            <w:szCs w:val="22"/>
            <w:shd w:val="clear" w:color="auto" w:fill="FFFFFF"/>
          </w:rPr>
          <w:t>10.18488/journal.73.2020.83.280.297</w:t>
        </w:r>
      </w:hyperlink>
    </w:p>
    <w:p w14:paraId="294E1074" w14:textId="054638D9" w:rsidR="00D923A9" w:rsidRPr="00686FF3" w:rsidRDefault="004B075B"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D923A9">
        <w:rPr>
          <w:rFonts w:ascii="Times New Roman" w:hAnsi="Times New Roman"/>
          <w:color w:val="000000" w:themeColor="text1"/>
          <w:sz w:val="22"/>
          <w:szCs w:val="22"/>
          <w:lang w:val="id-ID"/>
        </w:rPr>
        <w:t>Jaya, L.</w:t>
      </w:r>
      <w:r>
        <w:rPr>
          <w:rFonts w:ascii="Times New Roman" w:hAnsi="Times New Roman"/>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bCs/>
          <w:color w:val="000000" w:themeColor="text1"/>
          <w:sz w:val="22"/>
          <w:szCs w:val="22"/>
        </w:rPr>
        <w:t xml:space="preserve">Factors Affecting Customer Switching </w:t>
      </w:r>
      <w:proofErr w:type="spellStart"/>
      <w:r w:rsidRPr="00D923A9">
        <w:rPr>
          <w:rFonts w:ascii="Times New Roman" w:hAnsi="Times New Roman"/>
          <w:bCs/>
          <w:color w:val="000000" w:themeColor="text1"/>
          <w:sz w:val="22"/>
          <w:szCs w:val="22"/>
        </w:rPr>
        <w:t>Behavior</w:t>
      </w:r>
      <w:proofErr w:type="spellEnd"/>
      <w:r w:rsidRPr="00D923A9">
        <w:rPr>
          <w:rFonts w:ascii="Times New Roman" w:hAnsi="Times New Roman"/>
          <w:bCs/>
          <w:color w:val="000000" w:themeColor="text1"/>
          <w:sz w:val="22"/>
          <w:szCs w:val="22"/>
        </w:rPr>
        <w:t xml:space="preserve"> in the Retail Banking Industry at Bank BCA</w:t>
      </w:r>
      <w:r>
        <w:rPr>
          <w:rFonts w:ascii="Times New Roman" w:hAnsi="Times New Roman"/>
          <w:bCs/>
          <w:color w:val="000000" w:themeColor="text1"/>
          <w:sz w:val="22"/>
          <w:szCs w:val="22"/>
          <w:lang w:val="en-US"/>
        </w:rPr>
        <w:t>,</w:t>
      </w:r>
      <w:r w:rsidRPr="00D923A9">
        <w:rPr>
          <w:rFonts w:ascii="Times New Roman" w:hAnsi="Times New Roman"/>
          <w:color w:val="000000" w:themeColor="text1"/>
          <w:sz w:val="22"/>
          <w:szCs w:val="22"/>
          <w:lang w:val="id-ID"/>
        </w:rPr>
        <w:t xml:space="preserve"> </w:t>
      </w:r>
      <w:r w:rsidRPr="00D923A9">
        <w:rPr>
          <w:rFonts w:ascii="Times New Roman" w:hAnsi="Times New Roman"/>
          <w:i/>
          <w:color w:val="000000" w:themeColor="text1"/>
          <w:sz w:val="22"/>
          <w:szCs w:val="22"/>
          <w:lang w:val="id-ID"/>
        </w:rPr>
        <w:t>Jurnal Bisnis dan Manajemen</w:t>
      </w:r>
      <w:r w:rsidRPr="00D923A9">
        <w:rPr>
          <w:rFonts w:ascii="Times New Roman" w:hAnsi="Times New Roman"/>
          <w:color w:val="000000" w:themeColor="text1"/>
          <w:sz w:val="22"/>
          <w:szCs w:val="22"/>
          <w:lang w:val="id-ID"/>
        </w:rPr>
        <w:t xml:space="preserve">, </w:t>
      </w:r>
      <w:r>
        <w:rPr>
          <w:rFonts w:ascii="Times New Roman" w:hAnsi="Times New Roman"/>
          <w:color w:val="000000" w:themeColor="text1"/>
          <w:sz w:val="22"/>
          <w:szCs w:val="22"/>
          <w:lang w:val="en-US"/>
        </w:rPr>
        <w:t xml:space="preserve">Vol. </w:t>
      </w:r>
      <w:r w:rsidRPr="004B075B">
        <w:rPr>
          <w:rFonts w:ascii="Times New Roman" w:hAnsi="Times New Roman"/>
          <w:iCs/>
          <w:color w:val="000000" w:themeColor="text1"/>
          <w:sz w:val="22"/>
          <w:szCs w:val="22"/>
          <w:lang w:val="id-ID"/>
        </w:rPr>
        <w:t>52</w:t>
      </w:r>
      <w:r>
        <w:rPr>
          <w:rFonts w:ascii="Times New Roman" w:hAnsi="Times New Roman"/>
          <w:iCs/>
          <w:color w:val="000000" w:themeColor="text1"/>
          <w:sz w:val="22"/>
          <w:szCs w:val="22"/>
          <w:lang w:val="en-US"/>
        </w:rPr>
        <w:t xml:space="preserve">, No. </w:t>
      </w:r>
      <w:r w:rsidRPr="00D923A9">
        <w:rPr>
          <w:rFonts w:ascii="Times New Roman" w:hAnsi="Times New Roman"/>
          <w:color w:val="000000" w:themeColor="text1"/>
          <w:sz w:val="22"/>
          <w:szCs w:val="22"/>
          <w:lang w:val="id-ID"/>
        </w:rPr>
        <w:t>11,</w:t>
      </w:r>
      <w:r>
        <w:rPr>
          <w:rFonts w:ascii="Times New Roman" w:hAnsi="Times New Roman"/>
          <w:color w:val="000000" w:themeColor="text1"/>
          <w:sz w:val="22"/>
          <w:szCs w:val="22"/>
          <w:lang w:val="en-US"/>
        </w:rPr>
        <w:t xml:space="preserve"> </w:t>
      </w:r>
      <w:r w:rsidRPr="00D923A9">
        <w:rPr>
          <w:rFonts w:ascii="Times New Roman" w:hAnsi="Times New Roman"/>
          <w:color w:val="000000" w:themeColor="text1"/>
          <w:sz w:val="22"/>
          <w:szCs w:val="22"/>
          <w:lang w:val="id-ID"/>
        </w:rPr>
        <w:t>2016</w:t>
      </w:r>
      <w:r>
        <w:rPr>
          <w:rFonts w:ascii="Times New Roman" w:hAnsi="Times New Roman"/>
          <w:color w:val="000000" w:themeColor="text1"/>
          <w:sz w:val="22"/>
          <w:szCs w:val="22"/>
          <w:lang w:val="en-US"/>
        </w:rPr>
        <w:t>, pp.</w:t>
      </w:r>
      <w:r w:rsidRPr="00D923A9">
        <w:rPr>
          <w:rFonts w:ascii="Times New Roman" w:hAnsi="Times New Roman"/>
          <w:color w:val="000000" w:themeColor="text1"/>
          <w:sz w:val="22"/>
          <w:szCs w:val="22"/>
          <w:lang w:val="id-ID"/>
        </w:rPr>
        <w:t xml:space="preserve"> 115-141. </w:t>
      </w:r>
      <w:r w:rsidRPr="00D923A9">
        <w:rPr>
          <w:rFonts w:ascii="Times New Roman" w:hAnsi="Times New Roman"/>
          <w:color w:val="000000" w:themeColor="text1"/>
          <w:sz w:val="22"/>
          <w:szCs w:val="22"/>
          <w:lang w:val="id-ID"/>
        </w:rPr>
        <w:fldChar w:fldCharType="begin"/>
      </w:r>
      <w:r w:rsidRPr="00D923A9">
        <w:rPr>
          <w:rFonts w:ascii="Times New Roman" w:hAnsi="Times New Roman"/>
          <w:color w:val="000000" w:themeColor="text1"/>
          <w:sz w:val="22"/>
          <w:szCs w:val="22"/>
          <w:lang w:val="id-ID"/>
        </w:rPr>
        <w:instrText xml:space="preserve"> HYPERLINK "https://journal.untar.ac.id/index.php/bm/article/view/724/614" </w:instrText>
      </w:r>
      <w:r w:rsidRPr="00D923A9">
        <w:rPr>
          <w:rFonts w:ascii="Times New Roman" w:hAnsi="Times New Roman"/>
          <w:color w:val="000000" w:themeColor="text1"/>
          <w:sz w:val="22"/>
          <w:szCs w:val="22"/>
          <w:lang w:val="id-ID"/>
        </w:rPr>
        <w:fldChar w:fldCharType="separate"/>
      </w:r>
      <w:r w:rsidRPr="00D923A9">
        <w:rPr>
          <w:rStyle w:val="Hyperlink"/>
          <w:rFonts w:ascii="Times New Roman" w:hAnsi="Times New Roman"/>
          <w:sz w:val="22"/>
          <w:szCs w:val="22"/>
          <w:lang w:val="id-ID"/>
        </w:rPr>
        <w:t>https://journal.untar.ac.id/index.php/bm/article/view/724/614</w:t>
      </w:r>
      <w:r w:rsidRPr="00D923A9">
        <w:rPr>
          <w:rFonts w:ascii="Times New Roman" w:hAnsi="Times New Roman"/>
          <w:color w:val="000000" w:themeColor="text1"/>
          <w:sz w:val="22"/>
          <w:szCs w:val="22"/>
          <w:lang w:val="id-ID"/>
        </w:rPr>
        <w:fldChar w:fldCharType="end"/>
      </w:r>
    </w:p>
    <w:p w14:paraId="71FF8464" w14:textId="75E7045C" w:rsidR="00686FF3" w:rsidRPr="00021245" w:rsidRDefault="00686FF3" w:rsidP="00D923A9">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686FF3">
        <w:rPr>
          <w:rFonts w:ascii="Times New Roman" w:hAnsi="Times New Roman" w:cs="Times New Roman"/>
          <w:sz w:val="22"/>
          <w:szCs w:val="22"/>
        </w:rPr>
        <w:t>Meshref</w:t>
      </w:r>
      <w:proofErr w:type="spellEnd"/>
      <w:r w:rsidRPr="00686FF3">
        <w:rPr>
          <w:rFonts w:ascii="Times New Roman" w:hAnsi="Times New Roman" w:cs="Times New Roman"/>
          <w:sz w:val="22"/>
          <w:szCs w:val="22"/>
        </w:rPr>
        <w:t>,</w:t>
      </w:r>
      <w:r>
        <w:rPr>
          <w:rFonts w:ascii="Times New Roman" w:hAnsi="Times New Roman" w:cs="Times New Roman"/>
          <w:sz w:val="22"/>
          <w:szCs w:val="22"/>
        </w:rPr>
        <w:t xml:space="preserve"> H., </w:t>
      </w:r>
      <w:r w:rsidRPr="00686FF3">
        <w:rPr>
          <w:rFonts w:ascii="Times New Roman" w:hAnsi="Times New Roman" w:cs="Times New Roman"/>
          <w:sz w:val="22"/>
          <w:szCs w:val="22"/>
        </w:rPr>
        <w:t xml:space="preserve">Predicting Loan Approval of Bank Direct Marketing Data Using Ensemble Machine Learning Algorithms, </w:t>
      </w:r>
      <w:r w:rsidRPr="00686FF3">
        <w:rPr>
          <w:rFonts w:ascii="Times New Roman" w:hAnsi="Times New Roman" w:cs="Times New Roman"/>
          <w:i/>
          <w:iCs/>
          <w:sz w:val="22"/>
          <w:szCs w:val="22"/>
        </w:rPr>
        <w:t>International Journal of Circuits, Systems and Signal Processing</w:t>
      </w:r>
      <w:r w:rsidRPr="00686FF3">
        <w:rPr>
          <w:rFonts w:ascii="Times New Roman" w:hAnsi="Times New Roman" w:cs="Times New Roman"/>
          <w:sz w:val="22"/>
          <w:szCs w:val="22"/>
        </w:rPr>
        <w:t>, Vol</w:t>
      </w:r>
      <w:r>
        <w:rPr>
          <w:rFonts w:ascii="Times New Roman" w:hAnsi="Times New Roman" w:cs="Times New Roman"/>
          <w:sz w:val="22"/>
          <w:szCs w:val="22"/>
        </w:rPr>
        <w:t>.</w:t>
      </w:r>
      <w:r w:rsidRPr="00686FF3">
        <w:rPr>
          <w:rFonts w:ascii="Times New Roman" w:hAnsi="Times New Roman" w:cs="Times New Roman"/>
          <w:sz w:val="22"/>
          <w:szCs w:val="22"/>
        </w:rPr>
        <w:t xml:space="preserve"> 14, 2020, pp. 914-922.</w:t>
      </w:r>
      <w:r>
        <w:rPr>
          <w:rFonts w:ascii="Times New Roman" w:hAnsi="Times New Roman" w:cs="Times New Roman"/>
          <w:sz w:val="22"/>
          <w:szCs w:val="22"/>
        </w:rPr>
        <w:t xml:space="preserve"> </w:t>
      </w:r>
      <w:hyperlink r:id="rId29" w:history="1">
        <w:r w:rsidRPr="003D3B8A">
          <w:rPr>
            <w:rStyle w:val="Hyperlink"/>
            <w:rFonts w:ascii="Times New Roman" w:hAnsi="Times New Roman"/>
            <w:sz w:val="22"/>
            <w:szCs w:val="22"/>
          </w:rPr>
          <w:t>https://www.naun.org/main/NAUN/circuitssystemssignal/2020/c382005-daz.pdf</w:t>
        </w:r>
      </w:hyperlink>
      <w:r>
        <w:rPr>
          <w:rFonts w:ascii="Times New Roman" w:hAnsi="Times New Roman" w:cs="Times New Roman"/>
          <w:sz w:val="22"/>
          <w:szCs w:val="22"/>
        </w:rPr>
        <w:t xml:space="preserve"> </w:t>
      </w:r>
    </w:p>
    <w:p w14:paraId="4D2E9AC1" w14:textId="781D1F0C" w:rsidR="00021245" w:rsidRPr="00686FF3" w:rsidRDefault="00021245" w:rsidP="00686FF3">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021245">
        <w:rPr>
          <w:rFonts w:ascii="Times New Roman" w:hAnsi="Times New Roman" w:cs="Times New Roman"/>
          <w:sz w:val="22"/>
          <w:szCs w:val="22"/>
        </w:rPr>
        <w:t>Bao</w:t>
      </w:r>
      <w:r>
        <w:rPr>
          <w:rFonts w:ascii="Times New Roman" w:hAnsi="Times New Roman" w:cs="Times New Roman"/>
          <w:sz w:val="22"/>
          <w:szCs w:val="22"/>
        </w:rPr>
        <w:t>, G.</w:t>
      </w:r>
      <w:r w:rsidRPr="00021245">
        <w:rPr>
          <w:rFonts w:ascii="Times New Roman" w:hAnsi="Times New Roman" w:cs="Times New Roman"/>
          <w:sz w:val="22"/>
          <w:szCs w:val="22"/>
        </w:rPr>
        <w:t>, Zeng,</w:t>
      </w:r>
      <w:r>
        <w:rPr>
          <w:rFonts w:ascii="Times New Roman" w:hAnsi="Times New Roman" w:cs="Times New Roman"/>
          <w:sz w:val="22"/>
          <w:szCs w:val="22"/>
        </w:rPr>
        <w:t xml:space="preserve"> F., and</w:t>
      </w:r>
      <w:r w:rsidRPr="00021245">
        <w:rPr>
          <w:rFonts w:ascii="Times New Roman" w:hAnsi="Times New Roman" w:cs="Times New Roman"/>
          <w:sz w:val="22"/>
          <w:szCs w:val="22"/>
        </w:rPr>
        <w:t xml:space="preserve"> Wang</w:t>
      </w:r>
      <w:r>
        <w:rPr>
          <w:rFonts w:ascii="Times New Roman" w:hAnsi="Times New Roman" w:cs="Times New Roman"/>
          <w:sz w:val="22"/>
          <w:szCs w:val="22"/>
        </w:rPr>
        <w:t>, M.</w:t>
      </w:r>
      <w:r w:rsidRPr="00021245">
        <w:rPr>
          <w:rFonts w:ascii="Times New Roman" w:hAnsi="Times New Roman" w:cs="Times New Roman"/>
          <w:sz w:val="22"/>
          <w:szCs w:val="22"/>
        </w:rPr>
        <w:t xml:space="preserve">, Study on Human Resource Allocation Efficiency Based on DEA Analysis, </w:t>
      </w:r>
      <w:r w:rsidRPr="00021245">
        <w:rPr>
          <w:rFonts w:ascii="Times New Roman" w:hAnsi="Times New Roman" w:cs="Times New Roman"/>
          <w:i/>
          <w:iCs/>
          <w:sz w:val="22"/>
          <w:szCs w:val="22"/>
        </w:rPr>
        <w:t>International Journal of Circuits, Systems and Signal Processing</w:t>
      </w:r>
      <w:r w:rsidRPr="00021245">
        <w:rPr>
          <w:rFonts w:ascii="Times New Roman" w:hAnsi="Times New Roman" w:cs="Times New Roman"/>
          <w:sz w:val="22"/>
          <w:szCs w:val="22"/>
        </w:rPr>
        <w:t>, Vol</w:t>
      </w:r>
      <w:r>
        <w:rPr>
          <w:rFonts w:ascii="Times New Roman" w:hAnsi="Times New Roman" w:cs="Times New Roman"/>
          <w:sz w:val="22"/>
          <w:szCs w:val="22"/>
        </w:rPr>
        <w:t>.</w:t>
      </w:r>
      <w:r w:rsidRPr="00021245">
        <w:rPr>
          <w:rFonts w:ascii="Times New Roman" w:hAnsi="Times New Roman" w:cs="Times New Roman"/>
          <w:sz w:val="22"/>
          <w:szCs w:val="22"/>
        </w:rPr>
        <w:t xml:space="preserve"> 14, 2020, pp. 826-832.</w:t>
      </w:r>
      <w:r w:rsidR="00686FF3">
        <w:rPr>
          <w:rFonts w:ascii="Times New Roman" w:hAnsi="Times New Roman" w:cs="Times New Roman"/>
          <w:sz w:val="22"/>
          <w:szCs w:val="22"/>
        </w:rPr>
        <w:t xml:space="preserve"> </w:t>
      </w:r>
      <w:hyperlink r:id="rId30" w:history="1">
        <w:r w:rsidR="00686FF3" w:rsidRPr="003D3B8A">
          <w:rPr>
            <w:rStyle w:val="Hyperlink"/>
            <w:rFonts w:ascii="Times New Roman" w:hAnsi="Times New Roman"/>
            <w:sz w:val="22"/>
            <w:szCs w:val="22"/>
          </w:rPr>
          <w:t>https://www.naun.org/main/NAUN/circuitssystemssignal/2020/c182005-dap.pdf</w:t>
        </w:r>
      </w:hyperlink>
      <w:r w:rsidR="00686FF3">
        <w:rPr>
          <w:rFonts w:ascii="Times New Roman" w:hAnsi="Times New Roman" w:cs="Times New Roman"/>
          <w:sz w:val="22"/>
          <w:szCs w:val="22"/>
        </w:rPr>
        <w:t xml:space="preserve"> </w:t>
      </w:r>
    </w:p>
    <w:p w14:paraId="67B95139" w14:textId="77777777" w:rsidR="00A853D0" w:rsidRPr="00A853D0" w:rsidRDefault="00A853D0" w:rsidP="00A853D0">
      <w:pPr>
        <w:pStyle w:val="EndnoteText"/>
        <w:tabs>
          <w:tab w:val="left" w:pos="426"/>
          <w:tab w:val="left" w:pos="720"/>
        </w:tabs>
        <w:spacing w:before="0" w:after="0" w:line="240" w:lineRule="auto"/>
        <w:ind w:left="426"/>
        <w:rPr>
          <w:rFonts w:ascii="Times New Roman" w:hAnsi="Times New Roman" w:cs="Times New Roman"/>
          <w:sz w:val="22"/>
          <w:szCs w:val="22"/>
        </w:rPr>
      </w:pPr>
    </w:p>
    <w:p w14:paraId="4B6DF7E9" w14:textId="77777777" w:rsidR="00A853D0" w:rsidRDefault="00A853D0" w:rsidP="00A853D0">
      <w:pPr>
        <w:pStyle w:val="EndnoteText"/>
        <w:tabs>
          <w:tab w:val="left" w:pos="426"/>
          <w:tab w:val="left" w:pos="720"/>
        </w:tabs>
        <w:spacing w:before="0" w:after="0" w:line="240" w:lineRule="auto"/>
        <w:rPr>
          <w:rFonts w:ascii="Times New Roman" w:hAnsi="Times New Roman" w:cs="Times New Roman"/>
          <w:sz w:val="22"/>
          <w:szCs w:val="22"/>
        </w:rPr>
      </w:pPr>
    </w:p>
    <w:p w14:paraId="54CC7751" w14:textId="77777777" w:rsidR="00A853D0" w:rsidRPr="00264BC0" w:rsidRDefault="00A853D0" w:rsidP="00A853D0">
      <w:pPr>
        <w:pStyle w:val="EndnoteText"/>
        <w:tabs>
          <w:tab w:val="left" w:pos="426"/>
          <w:tab w:val="left" w:pos="720"/>
        </w:tabs>
        <w:spacing w:before="0" w:after="0" w:line="240" w:lineRule="auto"/>
        <w:rPr>
          <w:rFonts w:ascii="Times New Roman" w:hAnsi="Times New Roman" w:cs="Times New Roman"/>
          <w:b/>
          <w:bCs/>
          <w:sz w:val="28"/>
          <w:szCs w:val="28"/>
          <w:lang w:val="en-US"/>
        </w:rPr>
      </w:pPr>
      <w:r w:rsidRPr="00264BC0">
        <w:rPr>
          <w:rFonts w:ascii="Times New Roman" w:hAnsi="Times New Roman" w:cs="Times New Roman"/>
          <w:b/>
          <w:bCs/>
          <w:sz w:val="28"/>
          <w:szCs w:val="28"/>
          <w:lang w:val="en-US"/>
        </w:rPr>
        <w:t>Contribution of individual authors to the creation of a scientific article (ghostwriting policy)</w:t>
      </w:r>
    </w:p>
    <w:p w14:paraId="430A37D1" w14:textId="77777777" w:rsidR="00A853D0" w:rsidRDefault="00A853D0" w:rsidP="00A853D0">
      <w:pPr>
        <w:pStyle w:val="EndnoteText"/>
        <w:tabs>
          <w:tab w:val="left" w:pos="426"/>
          <w:tab w:val="left" w:pos="720"/>
        </w:tabs>
        <w:spacing w:before="0" w:after="0" w:line="240" w:lineRule="auto"/>
        <w:rPr>
          <w:rFonts w:ascii="Times New Roman" w:hAnsi="Times New Roman" w:cs="Times New Roman"/>
          <w:b/>
          <w:sz w:val="22"/>
          <w:szCs w:val="22"/>
        </w:rPr>
      </w:pPr>
    </w:p>
    <w:p w14:paraId="03F6DD98" w14:textId="77777777" w:rsidR="00160754" w:rsidRPr="00160754" w:rsidRDefault="00160754" w:rsidP="00160754">
      <w:pPr>
        <w:pStyle w:val="EndnoteText"/>
        <w:tabs>
          <w:tab w:val="left" w:pos="426"/>
          <w:tab w:val="left" w:pos="720"/>
        </w:tabs>
        <w:spacing w:before="0" w:after="0" w:line="240" w:lineRule="auto"/>
        <w:rPr>
          <w:rFonts w:ascii="Times New Roman" w:hAnsi="Times New Roman" w:cs="Times New Roman"/>
          <w:sz w:val="22"/>
          <w:szCs w:val="22"/>
        </w:rPr>
      </w:pPr>
      <w:proofErr w:type="spellStart"/>
      <w:r w:rsidRPr="00160754">
        <w:rPr>
          <w:rFonts w:ascii="Times New Roman" w:hAnsi="Times New Roman" w:cs="Times New Roman"/>
          <w:sz w:val="22"/>
          <w:szCs w:val="22"/>
        </w:rPr>
        <w:t>Hermanita</w:t>
      </w:r>
      <w:proofErr w:type="spellEnd"/>
      <w:r w:rsidRPr="00160754">
        <w:rPr>
          <w:rFonts w:ascii="Times New Roman" w:hAnsi="Times New Roman" w:cs="Times New Roman"/>
          <w:sz w:val="22"/>
          <w:szCs w:val="22"/>
        </w:rPr>
        <w:t xml:space="preserve"> has done research design, technical implementation, and data processing.</w:t>
      </w:r>
    </w:p>
    <w:p w14:paraId="11AD962A" w14:textId="309FBC21" w:rsidR="00DD39FE" w:rsidRDefault="00160754" w:rsidP="00160754">
      <w:pPr>
        <w:pStyle w:val="EndnoteText"/>
        <w:tabs>
          <w:tab w:val="left" w:pos="426"/>
          <w:tab w:val="left" w:pos="720"/>
        </w:tabs>
        <w:spacing w:before="0" w:after="0" w:line="240" w:lineRule="auto"/>
        <w:rPr>
          <w:rFonts w:ascii="Times New Roman" w:hAnsi="Times New Roman" w:cs="Times New Roman"/>
          <w:sz w:val="22"/>
          <w:szCs w:val="22"/>
        </w:rPr>
      </w:pPr>
      <w:proofErr w:type="spellStart"/>
      <w:r w:rsidRPr="00160754">
        <w:rPr>
          <w:rFonts w:ascii="Times New Roman" w:hAnsi="Times New Roman" w:cs="Times New Roman"/>
          <w:sz w:val="22"/>
          <w:szCs w:val="22"/>
        </w:rPr>
        <w:t>Suci</w:t>
      </w:r>
      <w:proofErr w:type="spellEnd"/>
      <w:r w:rsidRPr="00160754">
        <w:rPr>
          <w:rFonts w:ascii="Times New Roman" w:hAnsi="Times New Roman" w:cs="Times New Roman"/>
          <w:sz w:val="22"/>
          <w:szCs w:val="22"/>
        </w:rPr>
        <w:t xml:space="preserve"> </w:t>
      </w:r>
      <w:proofErr w:type="spellStart"/>
      <w:r w:rsidRPr="00160754">
        <w:rPr>
          <w:rFonts w:ascii="Times New Roman" w:hAnsi="Times New Roman" w:cs="Times New Roman"/>
          <w:sz w:val="22"/>
          <w:szCs w:val="22"/>
        </w:rPr>
        <w:t>Hayati</w:t>
      </w:r>
      <w:proofErr w:type="spellEnd"/>
      <w:r w:rsidRPr="00160754">
        <w:rPr>
          <w:rFonts w:ascii="Times New Roman" w:hAnsi="Times New Roman" w:cs="Times New Roman"/>
          <w:sz w:val="22"/>
          <w:szCs w:val="22"/>
        </w:rPr>
        <w:t xml:space="preserve"> contributes to the process of data collection and statistical data processing.</w:t>
      </w:r>
    </w:p>
    <w:p w14:paraId="4B6690D0" w14:textId="77777777" w:rsidR="00291BB2" w:rsidRPr="00291BB2" w:rsidRDefault="00291BB2" w:rsidP="00291BB2">
      <w:pPr>
        <w:pStyle w:val="Heading2"/>
        <w:shd w:val="clear" w:color="auto" w:fill="FFFFFF"/>
        <w:jc w:val="left"/>
        <w:rPr>
          <w:rFonts w:ascii="Segoe UI" w:hAnsi="Segoe UI" w:cs="Segoe UI"/>
          <w:u w:val="single"/>
        </w:rPr>
      </w:pPr>
      <w:r w:rsidRPr="00291BB2">
        <w:rPr>
          <w:sz w:val="22"/>
          <w:szCs w:val="22"/>
          <w:u w:val="single"/>
        </w:rPr>
        <w:t>Follow: www.wseas.org/multimedia/contributor-role-instruction.pdf</w:t>
      </w:r>
    </w:p>
    <w:p w14:paraId="38CE674F" w14:textId="77777777" w:rsidR="00264BC0" w:rsidRPr="00291BB2" w:rsidRDefault="00264BC0" w:rsidP="00A853D0">
      <w:pPr>
        <w:pStyle w:val="EndnoteText"/>
        <w:tabs>
          <w:tab w:val="left" w:pos="426"/>
          <w:tab w:val="left" w:pos="720"/>
        </w:tabs>
        <w:spacing w:before="0" w:after="0" w:line="240" w:lineRule="auto"/>
        <w:rPr>
          <w:rFonts w:ascii="Times New Roman" w:hAnsi="Times New Roman" w:cs="Times New Roman"/>
          <w:sz w:val="22"/>
          <w:szCs w:val="22"/>
          <w:lang w:val="en-US"/>
        </w:rPr>
      </w:pPr>
    </w:p>
    <w:p w14:paraId="615E232E"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bCs/>
          <w:sz w:val="28"/>
          <w:szCs w:val="28"/>
          <w:lang w:val="en-US"/>
        </w:rPr>
      </w:pPr>
      <w:r w:rsidRPr="00264BC0">
        <w:rPr>
          <w:rFonts w:ascii="Times New Roman" w:hAnsi="Times New Roman" w:cs="Times New Roman"/>
          <w:b/>
          <w:bCs/>
          <w:sz w:val="28"/>
          <w:szCs w:val="28"/>
          <w:lang w:val="en-US"/>
        </w:rPr>
        <w:t>Sources of funding for research presented in a scientific article or scientific article itself</w:t>
      </w:r>
    </w:p>
    <w:p w14:paraId="7378819C"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r w:rsidRPr="00264BC0">
        <w:rPr>
          <w:rFonts w:ascii="Times New Roman" w:hAnsi="Times New Roman" w:cs="Times New Roman"/>
          <w:b/>
          <w:color w:val="FF0000"/>
          <w:sz w:val="22"/>
          <w:szCs w:val="22"/>
        </w:rPr>
        <w:t>Report potential sources of funding if there is any</w:t>
      </w:r>
    </w:p>
    <w:p w14:paraId="71113F12"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14:paraId="3DAD8A0E"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14:paraId="4595FFF2" w14:textId="77777777" w:rsidR="00264BC0" w:rsidRPr="00264BC0" w:rsidRDefault="00264BC0" w:rsidP="00264BC0">
      <w:pPr>
        <w:pStyle w:val="Heading2"/>
        <w:shd w:val="clear" w:color="auto" w:fill="FFFFFF"/>
        <w:spacing w:before="0" w:after="0"/>
        <w:jc w:val="left"/>
        <w:rPr>
          <w:b/>
          <w:bCs/>
          <w:sz w:val="28"/>
          <w:szCs w:val="28"/>
        </w:rPr>
      </w:pPr>
      <w:r w:rsidRPr="00264BC0">
        <w:rPr>
          <w:b/>
          <w:bCs/>
          <w:sz w:val="28"/>
          <w:szCs w:val="28"/>
        </w:rPr>
        <w:t>Creative Commons Attribution License 4.0</w:t>
      </w:r>
      <w:r>
        <w:rPr>
          <w:b/>
          <w:bCs/>
          <w:sz w:val="28"/>
          <w:szCs w:val="28"/>
        </w:rPr>
        <w:t xml:space="preserve"> </w:t>
      </w:r>
      <w:r w:rsidRPr="00264BC0">
        <w:rPr>
          <w:b/>
          <w:bCs/>
          <w:sz w:val="28"/>
          <w:szCs w:val="28"/>
        </w:rPr>
        <w:t>(Attribution 4.0 International </w:t>
      </w:r>
      <w:r>
        <w:rPr>
          <w:b/>
          <w:bCs/>
          <w:sz w:val="28"/>
          <w:szCs w:val="28"/>
        </w:rPr>
        <w:t xml:space="preserve">, </w:t>
      </w:r>
      <w:r w:rsidRPr="00264BC0">
        <w:rPr>
          <w:b/>
          <w:bCs/>
          <w:sz w:val="28"/>
          <w:szCs w:val="28"/>
        </w:rPr>
        <w:t>CC BY 4.0)</w:t>
      </w:r>
    </w:p>
    <w:p w14:paraId="2688BDFC" w14:textId="77777777" w:rsidR="00264BC0" w:rsidRPr="00264BC0" w:rsidRDefault="00264BC0" w:rsidP="00A853D0">
      <w:pPr>
        <w:pStyle w:val="EndnoteText"/>
        <w:tabs>
          <w:tab w:val="left" w:pos="426"/>
          <w:tab w:val="left" w:pos="720"/>
        </w:tabs>
        <w:spacing w:before="0" w:after="0" w:line="240" w:lineRule="auto"/>
        <w:rPr>
          <w:rFonts w:ascii="Times New Roman" w:hAnsi="Times New Roman" w:cs="Times New Roman"/>
          <w:b/>
          <w:bCs/>
          <w:sz w:val="28"/>
          <w:szCs w:val="28"/>
          <w:lang w:val="en-US"/>
        </w:rPr>
      </w:pPr>
    </w:p>
    <w:p w14:paraId="66ED2291" w14:textId="77777777" w:rsidR="0022082A" w:rsidRPr="0022082A" w:rsidRDefault="0022082A" w:rsidP="0022082A">
      <w:pPr>
        <w:pStyle w:val="EndnoteText"/>
        <w:tabs>
          <w:tab w:val="left" w:pos="426"/>
          <w:tab w:val="left" w:pos="720"/>
        </w:tabs>
        <w:spacing w:before="0" w:after="0" w:line="240" w:lineRule="auto"/>
        <w:rPr>
          <w:rFonts w:ascii="Times New Roman" w:hAnsi="Times New Roman" w:cs="Times New Roman"/>
          <w:color w:val="20323E"/>
          <w:sz w:val="22"/>
          <w:shd w:val="clear" w:color="auto" w:fill="FFFFFF"/>
        </w:rPr>
      </w:pPr>
      <w:r w:rsidRPr="0022082A">
        <w:rPr>
          <w:rFonts w:ascii="Times New Roman" w:hAnsi="Times New Roman" w:cs="Times New Roman"/>
          <w:color w:val="20323E"/>
          <w:sz w:val="22"/>
          <w:shd w:val="clear" w:color="auto" w:fill="FFFFFF"/>
        </w:rPr>
        <w:t>This article is published under the terms of the Creative Commons Attribution License 4.0</w:t>
      </w:r>
    </w:p>
    <w:p w14:paraId="32541375" w14:textId="77777777" w:rsidR="00264BC0" w:rsidRPr="0022082A" w:rsidRDefault="001F479C" w:rsidP="0022082A">
      <w:pPr>
        <w:pStyle w:val="EndnoteText"/>
        <w:tabs>
          <w:tab w:val="left" w:pos="426"/>
          <w:tab w:val="left" w:pos="720"/>
        </w:tabs>
        <w:spacing w:before="0" w:after="0" w:line="240" w:lineRule="auto"/>
        <w:rPr>
          <w:rFonts w:ascii="Times New Roman" w:hAnsi="Times New Roman" w:cs="Times New Roman"/>
          <w:color w:val="20323E"/>
          <w:sz w:val="22"/>
          <w:shd w:val="clear" w:color="auto" w:fill="FFFFFF"/>
        </w:rPr>
      </w:pPr>
      <w:hyperlink r:id="rId31" w:history="1">
        <w:r w:rsidR="0022082A" w:rsidRPr="0022082A">
          <w:rPr>
            <w:rStyle w:val="Hyperlink"/>
            <w:rFonts w:ascii="Times New Roman" w:hAnsi="Times New Roman"/>
            <w:sz w:val="22"/>
            <w:shd w:val="clear" w:color="auto" w:fill="FFFFFF"/>
          </w:rPr>
          <w:t>https://creativecommons.org/licenses/by/4.0/deed.en_US</w:t>
        </w:r>
      </w:hyperlink>
    </w:p>
    <w:sectPr w:rsidR="00264BC0" w:rsidRPr="0022082A" w:rsidSect="007E5C9C">
      <w:type w:val="continuous"/>
      <w:pgSz w:w="11906" w:h="16838"/>
      <w:pgMar w:top="1418" w:right="1021" w:bottom="1418" w:left="1021" w:header="720" w:footer="720" w:gutter="0"/>
      <w:cols w:num="2" w:space="567"/>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arhan Baehaki" w:date="2021-09-18T23:05:00Z" w:initials="FB">
    <w:p w14:paraId="26933806" w14:textId="20236FC5" w:rsidR="001443A4" w:rsidRDefault="001443A4">
      <w:pPr>
        <w:pStyle w:val="CommentText"/>
      </w:pPr>
      <w:r>
        <w:rPr>
          <w:rStyle w:val="CommentReference"/>
        </w:rPr>
        <w:annotationRef/>
      </w:r>
      <w:r>
        <w:t xml:space="preserve">Reviewer 3: </w:t>
      </w:r>
      <w:r w:rsidRPr="001443A4">
        <w:t>The description of the problem and the methodology are not clearly written in the abstract and the introduction. Please explain them</w:t>
      </w:r>
    </w:p>
  </w:comment>
  <w:comment w:id="3" w:author="Farhan Baehaki" w:date="2021-09-18T23:05:00Z" w:initials="FB">
    <w:p w14:paraId="0A83A5E5" w14:textId="05DBD8D0" w:rsidR="001443A4" w:rsidRDefault="001443A4">
      <w:pPr>
        <w:pStyle w:val="CommentText"/>
      </w:pPr>
      <w:r>
        <w:rPr>
          <w:rStyle w:val="CommentReference"/>
        </w:rPr>
        <w:annotationRef/>
      </w:r>
      <w:r>
        <w:t>Already repaired</w:t>
      </w:r>
    </w:p>
  </w:comment>
  <w:comment w:id="0" w:author="Farhan Baehaki" w:date="2021-09-18T22:57:00Z" w:initials="FB">
    <w:p w14:paraId="642D8CCC" w14:textId="67154078" w:rsidR="001443A4" w:rsidRDefault="001443A4">
      <w:pPr>
        <w:pStyle w:val="CommentText"/>
      </w:pPr>
      <w:r>
        <w:rPr>
          <w:rStyle w:val="CommentReference"/>
        </w:rPr>
        <w:annotationRef/>
      </w:r>
      <w:r w:rsidRPr="001443A4">
        <w:rPr>
          <w:b/>
          <w:bCs/>
        </w:rPr>
        <w:t>Reviewer 2</w:t>
      </w:r>
      <w:r>
        <w:t xml:space="preserve">: </w:t>
      </w:r>
      <w:r w:rsidRPr="001443A4">
        <w:t>The reason(s) for writing the paper or the aims of the research should be clearly given in the abstract</w:t>
      </w:r>
    </w:p>
  </w:comment>
  <w:comment w:id="1" w:author="Farhan Baehaki" w:date="2021-09-18T22:57:00Z" w:initials="FB">
    <w:p w14:paraId="355739D9" w14:textId="4B6E6C94" w:rsidR="001443A4" w:rsidRDefault="001443A4">
      <w:pPr>
        <w:pStyle w:val="CommentText"/>
      </w:pPr>
      <w:r>
        <w:rPr>
          <w:rStyle w:val="CommentReference"/>
        </w:rPr>
        <w:annotationRef/>
      </w:r>
      <w:r>
        <w:t>Already completed</w:t>
      </w:r>
    </w:p>
  </w:comment>
  <w:comment w:id="4" w:author="Farhan Baehaki" w:date="2021-09-18T22:56:00Z" w:initials="FB">
    <w:p w14:paraId="230E6D7F" w14:textId="3EE3E0EB" w:rsidR="001443A4" w:rsidRDefault="001443A4">
      <w:pPr>
        <w:pStyle w:val="CommentText"/>
      </w:pPr>
      <w:r>
        <w:rPr>
          <w:rStyle w:val="CommentReference"/>
        </w:rPr>
        <w:annotationRef/>
      </w:r>
      <w:r w:rsidRPr="001443A4">
        <w:rPr>
          <w:b/>
          <w:bCs/>
        </w:rPr>
        <w:t>Reviewer 1</w:t>
      </w:r>
      <w:r>
        <w:t xml:space="preserve">: </w:t>
      </w:r>
      <w:r w:rsidRPr="001443A4">
        <w:t>More representative keyword should be added</w:t>
      </w:r>
    </w:p>
  </w:comment>
  <w:comment w:id="5" w:author="Farhan Baehaki" w:date="2021-09-18T22:56:00Z" w:initials="FB">
    <w:p w14:paraId="47386CCA" w14:textId="432E5988" w:rsidR="001443A4" w:rsidRDefault="001443A4">
      <w:pPr>
        <w:pStyle w:val="CommentText"/>
      </w:pPr>
      <w:r>
        <w:rPr>
          <w:rStyle w:val="CommentReference"/>
        </w:rPr>
        <w:annotationRef/>
      </w:r>
      <w:r>
        <w:t>Already repaired</w:t>
      </w:r>
    </w:p>
  </w:comment>
  <w:comment w:id="6" w:author="Farhan Baehaki" w:date="2021-09-18T22:51:00Z" w:initials="FB">
    <w:p w14:paraId="7D07D423" w14:textId="6CD535B4" w:rsidR="00686FF3" w:rsidRDefault="00686FF3">
      <w:pPr>
        <w:pStyle w:val="CommentText"/>
      </w:pPr>
      <w:r>
        <w:rPr>
          <w:rStyle w:val="CommentReference"/>
        </w:rPr>
        <w:annotationRef/>
      </w:r>
      <w:r w:rsidRPr="00686FF3">
        <w:rPr>
          <w:b/>
          <w:bCs/>
        </w:rPr>
        <w:t>Reviewer 1</w:t>
      </w:r>
      <w:r>
        <w:t xml:space="preserve">: </w:t>
      </w:r>
      <w:r w:rsidRPr="00686FF3">
        <w:t>In introduction the authors can highlight the usefulness of the study in the practical applicability.</w:t>
      </w:r>
    </w:p>
  </w:comment>
  <w:comment w:id="7" w:author="Farhan Baehaki" w:date="2021-09-18T22:51:00Z" w:initials="FB">
    <w:p w14:paraId="491085A0" w14:textId="6F291DD7" w:rsidR="00686FF3" w:rsidRDefault="00686FF3">
      <w:pPr>
        <w:pStyle w:val="CommentText"/>
      </w:pPr>
      <w:r>
        <w:rPr>
          <w:rStyle w:val="CommentReference"/>
        </w:rPr>
        <w:annotationRef/>
      </w:r>
      <w:r w:rsidRPr="00686FF3">
        <w:t>Already equipped</w:t>
      </w:r>
    </w:p>
  </w:comment>
  <w:comment w:id="8" w:author="Farhan Baehaki" w:date="2021-09-18T23:07:00Z" w:initials="FB">
    <w:p w14:paraId="2BB480F8" w14:textId="4E5ED710" w:rsidR="001F479C" w:rsidRDefault="001F479C">
      <w:pPr>
        <w:pStyle w:val="CommentText"/>
      </w:pPr>
      <w:r>
        <w:rPr>
          <w:rStyle w:val="CommentReference"/>
        </w:rPr>
        <w:annotationRef/>
      </w:r>
      <w:r>
        <w:t xml:space="preserve">Reviewer 3: </w:t>
      </w:r>
      <w:r w:rsidRPr="001F479C">
        <w:t>The sample of the 40 non-Muslim customers is too small. How reliable are the results?</w:t>
      </w:r>
    </w:p>
  </w:comment>
  <w:comment w:id="9" w:author="Farhan Baehaki" w:date="2021-09-18T23:09:00Z" w:initials="FB">
    <w:p w14:paraId="276D545C" w14:textId="73ADD70A" w:rsidR="001F479C" w:rsidRDefault="001F479C">
      <w:pPr>
        <w:pStyle w:val="CommentText"/>
      </w:pPr>
      <w:r>
        <w:rPr>
          <w:rStyle w:val="CommentReference"/>
        </w:rPr>
        <w:annotationRef/>
      </w:r>
      <w:r w:rsidRPr="001F479C">
        <w:t>This amount has been adjusted to the population of non-Muslim customers who use financial services at Islamic banks in Metro City, Lampung, Indonesia</w:t>
      </w:r>
    </w:p>
  </w:comment>
  <w:comment w:id="10" w:author="Farhan Baehaki" w:date="2021-09-18T22:53:00Z" w:initials="FB">
    <w:p w14:paraId="176AC0F0" w14:textId="1A2AAC6E" w:rsidR="00686FF3" w:rsidRDefault="00686FF3">
      <w:pPr>
        <w:pStyle w:val="CommentText"/>
      </w:pPr>
      <w:r>
        <w:rPr>
          <w:rStyle w:val="CommentReference"/>
        </w:rPr>
        <w:annotationRef/>
      </w:r>
      <w:r w:rsidRPr="00686FF3">
        <w:rPr>
          <w:b/>
          <w:bCs/>
        </w:rPr>
        <w:t>Reviewer 1</w:t>
      </w:r>
      <w:r>
        <w:t xml:space="preserve">: </w:t>
      </w:r>
      <w:r w:rsidRPr="00686FF3">
        <w:t>The Table 1 (Results of the Research Questionnaire Validity Test) must be presented better and more details must be incorporated inside the text.</w:t>
      </w:r>
    </w:p>
  </w:comment>
  <w:comment w:id="11" w:author="Farhan Baehaki" w:date="2021-09-18T22:53:00Z" w:initials="FB">
    <w:p w14:paraId="7225BA45" w14:textId="5CBDDB0B" w:rsidR="00686FF3" w:rsidRDefault="00686FF3">
      <w:pPr>
        <w:pStyle w:val="CommentText"/>
      </w:pPr>
      <w:r>
        <w:rPr>
          <w:rStyle w:val="CommentReference"/>
        </w:rPr>
        <w:annotationRef/>
      </w:r>
      <w:r w:rsidRPr="00686FF3">
        <w:t>Already repaired</w:t>
      </w:r>
    </w:p>
  </w:comment>
  <w:comment w:id="12" w:author="Farhan Baehaki" w:date="2021-09-18T22:58:00Z" w:initials="FB">
    <w:p w14:paraId="664857D5" w14:textId="6E781390" w:rsidR="001443A4" w:rsidRDefault="001443A4">
      <w:pPr>
        <w:pStyle w:val="CommentText"/>
      </w:pPr>
      <w:r>
        <w:rPr>
          <w:rStyle w:val="CommentReference"/>
        </w:rPr>
        <w:annotationRef/>
      </w:r>
      <w:r w:rsidRPr="001443A4">
        <w:rPr>
          <w:b/>
          <w:bCs/>
        </w:rPr>
        <w:t>Reviewer 2</w:t>
      </w:r>
      <w:r>
        <w:t xml:space="preserve">: </w:t>
      </w:r>
      <w:r w:rsidRPr="001443A4">
        <w:t>The statistical analysis in section 4 should be extended</w:t>
      </w:r>
    </w:p>
  </w:comment>
  <w:comment w:id="13" w:author="Farhan Baehaki" w:date="2021-09-18T23:00:00Z" w:initials="FB">
    <w:p w14:paraId="0F9368F0" w14:textId="5869EE27" w:rsidR="001443A4" w:rsidRDefault="001443A4">
      <w:pPr>
        <w:pStyle w:val="CommentText"/>
      </w:pPr>
      <w:r>
        <w:rPr>
          <w:rStyle w:val="CommentReference"/>
        </w:rPr>
        <w:annotationRef/>
      </w:r>
      <w:r w:rsidRPr="001443A4">
        <w:t>For statistical data analysis, we have double-checked. Everything presented is complete and according to procedures.</w:t>
      </w:r>
    </w:p>
  </w:comment>
  <w:comment w:id="14" w:author="Farhan Baehaki" w:date="2021-09-18T23:01:00Z" w:initials="FB">
    <w:p w14:paraId="72E244C7" w14:textId="3DD35CCD" w:rsidR="001443A4" w:rsidRDefault="001443A4">
      <w:pPr>
        <w:pStyle w:val="CommentText"/>
      </w:pPr>
      <w:r>
        <w:rPr>
          <w:rStyle w:val="CommentReference"/>
        </w:rPr>
        <w:annotationRef/>
      </w:r>
      <w:r w:rsidRPr="001443A4">
        <w:rPr>
          <w:b/>
          <w:bCs/>
        </w:rPr>
        <w:t>Reviewer 2</w:t>
      </w:r>
      <w:r>
        <w:t xml:space="preserve">: </w:t>
      </w:r>
      <w:r w:rsidRPr="001443A4">
        <w:t>Section '4.2-Data Collection Techniques and Data Analysis' should be rewritten because it is incomprehensible</w:t>
      </w:r>
    </w:p>
  </w:comment>
  <w:comment w:id="15" w:author="Farhan Baehaki" w:date="2021-09-18T23:01:00Z" w:initials="FB">
    <w:p w14:paraId="709C09EC" w14:textId="7236FCF9" w:rsidR="001443A4" w:rsidRDefault="001443A4">
      <w:pPr>
        <w:pStyle w:val="CommentText"/>
      </w:pPr>
      <w:r>
        <w:rPr>
          <w:rStyle w:val="CommentReference"/>
        </w:rPr>
        <w:annotationRef/>
      </w:r>
      <w:r>
        <w:t>Already repaired</w:t>
      </w:r>
    </w:p>
  </w:comment>
  <w:comment w:id="16" w:author="Farhan Baehaki" w:date="2021-09-18T22:55:00Z" w:initials="FB">
    <w:p w14:paraId="7A8917E6" w14:textId="19E10836" w:rsidR="00686FF3" w:rsidRDefault="00686FF3">
      <w:pPr>
        <w:pStyle w:val="CommentText"/>
      </w:pPr>
      <w:r>
        <w:rPr>
          <w:rStyle w:val="CommentReference"/>
        </w:rPr>
        <w:annotationRef/>
      </w:r>
      <w:r w:rsidRPr="00686FF3">
        <w:rPr>
          <w:b/>
          <w:bCs/>
        </w:rPr>
        <w:t>Reviewer 1</w:t>
      </w:r>
      <w:r>
        <w:t xml:space="preserve">: </w:t>
      </w:r>
      <w:r w:rsidRPr="00686FF3">
        <w:t xml:space="preserve">I think that the Section 4.3 'Analysis of Factors Affecting Switching </w:t>
      </w:r>
      <w:proofErr w:type="spellStart"/>
      <w:r w:rsidRPr="00686FF3">
        <w:t>Behavior</w:t>
      </w:r>
      <w:proofErr w:type="spellEnd"/>
      <w:r w:rsidRPr="00686FF3">
        <w:t>' should be presented with more details.</w:t>
      </w:r>
    </w:p>
  </w:comment>
  <w:comment w:id="17" w:author="Farhan Baehaki" w:date="2021-09-18T22:55:00Z" w:initials="FB">
    <w:p w14:paraId="6904CB4B" w14:textId="4D28E98D" w:rsidR="00686FF3" w:rsidRDefault="00686FF3">
      <w:pPr>
        <w:pStyle w:val="CommentText"/>
      </w:pPr>
      <w:r>
        <w:rPr>
          <w:rStyle w:val="CommentReference"/>
        </w:rPr>
        <w:annotationRef/>
      </w:r>
      <w:r w:rsidRPr="00686FF3">
        <w:t>Already repaired</w:t>
      </w:r>
    </w:p>
  </w:comment>
  <w:comment w:id="18" w:author="Farhan Baehaki" w:date="2021-09-18T23:06:00Z" w:initials="FB">
    <w:p w14:paraId="135B1C8E" w14:textId="7BF1F0CB" w:rsidR="001443A4" w:rsidRDefault="001443A4">
      <w:pPr>
        <w:pStyle w:val="CommentText"/>
      </w:pPr>
      <w:r>
        <w:rPr>
          <w:rStyle w:val="CommentReference"/>
        </w:rPr>
        <w:annotationRef/>
      </w:r>
      <w:r w:rsidR="001F479C">
        <w:t xml:space="preserve">Reviewer 3: </w:t>
      </w:r>
      <w:r w:rsidR="001F479C" w:rsidRPr="001F479C">
        <w:t>The comment regarding "From the explanations expressed by the participants, it can be understood that another consideration for non-Muslim customers to become customers of Islamic banks is their interest in implementing profit-sharing products in Islamic banks." should be better explained.</w:t>
      </w:r>
    </w:p>
  </w:comment>
  <w:comment w:id="19" w:author="Farhan Baehaki" w:date="2021-09-18T23:07:00Z" w:initials="FB">
    <w:p w14:paraId="10027357" w14:textId="035D41DE" w:rsidR="001F479C" w:rsidRDefault="001F479C">
      <w:pPr>
        <w:pStyle w:val="CommentText"/>
      </w:pPr>
      <w:r>
        <w:rPr>
          <w:rStyle w:val="CommentReference"/>
        </w:rPr>
        <w:annotationRef/>
      </w:r>
      <w:r>
        <w:t>Already repaired</w:t>
      </w:r>
    </w:p>
  </w:comment>
  <w:comment w:id="20" w:author="Farhan Baehaki" w:date="2021-09-18T23:02:00Z" w:initials="FB">
    <w:p w14:paraId="4293CDF9" w14:textId="56F059D8" w:rsidR="001443A4" w:rsidRDefault="001443A4">
      <w:pPr>
        <w:pStyle w:val="CommentText"/>
      </w:pPr>
      <w:r>
        <w:rPr>
          <w:rStyle w:val="CommentReference"/>
        </w:rPr>
        <w:annotationRef/>
      </w:r>
      <w:r w:rsidRPr="001443A4">
        <w:rPr>
          <w:b/>
          <w:bCs/>
        </w:rPr>
        <w:t>Reviewer 2</w:t>
      </w:r>
      <w:r>
        <w:t xml:space="preserve">: </w:t>
      </w:r>
      <w:r w:rsidRPr="001443A4">
        <w:t>The authors should comment on the way that their results could be generalized to other countries, not only in Indonesia.</w:t>
      </w:r>
    </w:p>
  </w:comment>
  <w:comment w:id="21" w:author="Farhan Baehaki" w:date="2021-09-18T23:02:00Z" w:initials="FB">
    <w:p w14:paraId="5DB38AAF" w14:textId="073A0246" w:rsidR="001443A4" w:rsidRDefault="001443A4">
      <w:pPr>
        <w:pStyle w:val="CommentText"/>
      </w:pPr>
      <w:r>
        <w:rPr>
          <w:rStyle w:val="CommentReference"/>
        </w:rPr>
        <w:annotationRef/>
      </w:r>
      <w:r>
        <w:t>Already added</w:t>
      </w:r>
    </w:p>
  </w:comment>
  <w:comment w:id="22" w:author="Farhan Baehaki" w:date="2021-09-18T23:03:00Z" w:initials="FB">
    <w:p w14:paraId="6EAEDC4F" w14:textId="6C341EEC" w:rsidR="001443A4" w:rsidRDefault="001443A4">
      <w:pPr>
        <w:pStyle w:val="CommentText"/>
      </w:pPr>
      <w:r>
        <w:rPr>
          <w:rStyle w:val="CommentReference"/>
        </w:rPr>
        <w:annotationRef/>
      </w:r>
      <w:r>
        <w:t xml:space="preserve">Reviewer 2: </w:t>
      </w:r>
      <w:r w:rsidRPr="001443A4">
        <w:t>additional citations</w:t>
      </w:r>
    </w:p>
  </w:comment>
  <w:comment w:id="23" w:author="Farhan Baehaki" w:date="2021-09-18T23:03:00Z" w:initials="FB">
    <w:p w14:paraId="7B758470" w14:textId="3E1B7113" w:rsidR="001443A4" w:rsidRDefault="001443A4">
      <w:pPr>
        <w:pStyle w:val="CommentText"/>
      </w:pPr>
      <w:r>
        <w:rPr>
          <w:rStyle w:val="CommentReference"/>
        </w:rPr>
        <w:annotationRef/>
      </w:r>
      <w:r>
        <w:t>Already added</w:t>
      </w:r>
    </w:p>
  </w:comment>
  <w:comment w:id="24" w:author="Farhan Baehaki" w:date="2021-09-18T23:05:00Z" w:initials="FB">
    <w:p w14:paraId="5E1948A7" w14:textId="78BB71C0" w:rsidR="001443A4" w:rsidRDefault="001443A4">
      <w:pPr>
        <w:pStyle w:val="CommentText"/>
      </w:pPr>
      <w:r>
        <w:rPr>
          <w:rStyle w:val="CommentReference"/>
        </w:rPr>
        <w:annotationRef/>
      </w:r>
      <w:r w:rsidRPr="001443A4">
        <w:rPr>
          <w:b/>
          <w:bCs/>
        </w:rPr>
        <w:t>Reviewer 3</w:t>
      </w:r>
      <w:r>
        <w:t xml:space="preserve">: </w:t>
      </w:r>
      <w:r w:rsidRPr="001443A4">
        <w:t>In conclusions section the authors should explain the contribution of their study and the obtained conclusions to the non-Muslim consumers. More conclusions would be welcome</w:t>
      </w:r>
    </w:p>
  </w:comment>
  <w:comment w:id="25" w:author="Farhan Baehaki" w:date="2021-09-18T23:05:00Z" w:initials="FB">
    <w:p w14:paraId="4A07C0F8" w14:textId="035FF588" w:rsidR="001443A4" w:rsidRDefault="001443A4">
      <w:pPr>
        <w:pStyle w:val="CommentText"/>
      </w:pPr>
      <w:r>
        <w:rPr>
          <w:rStyle w:val="CommentReference"/>
        </w:rPr>
        <w:annotationRef/>
      </w:r>
      <w:r>
        <w:t>Already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933806" w15:done="0"/>
  <w15:commentEx w15:paraId="0A83A5E5" w15:paraIdParent="26933806" w15:done="0"/>
  <w15:commentEx w15:paraId="642D8CCC" w15:done="0"/>
  <w15:commentEx w15:paraId="355739D9" w15:paraIdParent="642D8CCC" w15:done="0"/>
  <w15:commentEx w15:paraId="230E6D7F" w15:done="0"/>
  <w15:commentEx w15:paraId="47386CCA" w15:paraIdParent="230E6D7F" w15:done="0"/>
  <w15:commentEx w15:paraId="7D07D423" w15:done="0"/>
  <w15:commentEx w15:paraId="491085A0" w15:paraIdParent="7D07D423" w15:done="0"/>
  <w15:commentEx w15:paraId="2BB480F8" w15:done="0"/>
  <w15:commentEx w15:paraId="276D545C" w15:paraIdParent="2BB480F8" w15:done="0"/>
  <w15:commentEx w15:paraId="176AC0F0" w15:done="0"/>
  <w15:commentEx w15:paraId="7225BA45" w15:paraIdParent="176AC0F0" w15:done="0"/>
  <w15:commentEx w15:paraId="664857D5" w15:done="0"/>
  <w15:commentEx w15:paraId="0F9368F0" w15:paraIdParent="664857D5" w15:done="0"/>
  <w15:commentEx w15:paraId="72E244C7" w15:done="0"/>
  <w15:commentEx w15:paraId="709C09EC" w15:paraIdParent="72E244C7" w15:done="0"/>
  <w15:commentEx w15:paraId="7A8917E6" w15:done="0"/>
  <w15:commentEx w15:paraId="6904CB4B" w15:paraIdParent="7A8917E6" w15:done="0"/>
  <w15:commentEx w15:paraId="135B1C8E" w15:done="0"/>
  <w15:commentEx w15:paraId="10027357" w15:paraIdParent="135B1C8E" w15:done="0"/>
  <w15:commentEx w15:paraId="4293CDF9" w15:done="0"/>
  <w15:commentEx w15:paraId="5DB38AAF" w15:paraIdParent="4293CDF9" w15:done="0"/>
  <w15:commentEx w15:paraId="6EAEDC4F" w15:done="0"/>
  <w15:commentEx w15:paraId="7B758470" w15:paraIdParent="6EAEDC4F" w15:done="0"/>
  <w15:commentEx w15:paraId="5E1948A7" w15:done="0"/>
  <w15:commentEx w15:paraId="4A07C0F8" w15:paraIdParent="5E1948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EF1E" w16cex:dateUtc="2021-09-18T16:05:00Z"/>
  <w16cex:commentExtensible w16cex:durableId="24F0EF25" w16cex:dateUtc="2021-09-18T16:05:00Z"/>
  <w16cex:commentExtensible w16cex:durableId="24F0ED59" w16cex:dateUtc="2021-09-18T15:57:00Z"/>
  <w16cex:commentExtensible w16cex:durableId="24F0ED68" w16cex:dateUtc="2021-09-18T15:57:00Z"/>
  <w16cex:commentExtensible w16cex:durableId="24F0ED2A" w16cex:dateUtc="2021-09-18T15:56:00Z"/>
  <w16cex:commentExtensible w16cex:durableId="24F0ED37" w16cex:dateUtc="2021-09-18T15:56:00Z"/>
  <w16cex:commentExtensible w16cex:durableId="24F0EBFB" w16cex:dateUtc="2021-09-18T15:51:00Z"/>
  <w16cex:commentExtensible w16cex:durableId="24F0EC09" w16cex:dateUtc="2021-09-18T15:51:00Z"/>
  <w16cex:commentExtensible w16cex:durableId="24F0EFCE" w16cex:dateUtc="2021-09-18T16:07:00Z"/>
  <w16cex:commentExtensible w16cex:durableId="24F0F01A" w16cex:dateUtc="2021-09-18T16:09:00Z"/>
  <w16cex:commentExtensible w16cex:durableId="24F0EC72" w16cex:dateUtc="2021-09-18T15:53:00Z"/>
  <w16cex:commentExtensible w16cex:durableId="24F0EC83" w16cex:dateUtc="2021-09-18T15:53:00Z"/>
  <w16cex:commentExtensible w16cex:durableId="24F0EDA4" w16cex:dateUtc="2021-09-18T15:58:00Z"/>
  <w16cex:commentExtensible w16cex:durableId="24F0EDF2" w16cex:dateUtc="2021-09-18T16:00:00Z"/>
  <w16cex:commentExtensible w16cex:durableId="24F0EE31" w16cex:dateUtc="2021-09-18T16:01:00Z"/>
  <w16cex:commentExtensible w16cex:durableId="24F0EE3A" w16cex:dateUtc="2021-09-18T16:01:00Z"/>
  <w16cex:commentExtensible w16cex:durableId="24F0ECE6" w16cex:dateUtc="2021-09-18T15:55:00Z"/>
  <w16cex:commentExtensible w16cex:durableId="24F0ECF5" w16cex:dateUtc="2021-09-18T15:55:00Z"/>
  <w16cex:commentExtensible w16cex:durableId="24F0EF70" w16cex:dateUtc="2021-09-18T16:06:00Z"/>
  <w16cex:commentExtensible w16cex:durableId="24F0EF9A" w16cex:dateUtc="2021-09-18T16:07:00Z"/>
  <w16cex:commentExtensible w16cex:durableId="24F0EE6A" w16cex:dateUtc="2021-09-18T16:02:00Z"/>
  <w16cex:commentExtensible w16cex:durableId="24F0EE78" w16cex:dateUtc="2021-09-18T16:02:00Z"/>
  <w16cex:commentExtensible w16cex:durableId="24F0EEBB" w16cex:dateUtc="2021-09-18T16:03:00Z"/>
  <w16cex:commentExtensible w16cex:durableId="24F0EEC7" w16cex:dateUtc="2021-09-18T16:03:00Z"/>
  <w16cex:commentExtensible w16cex:durableId="24F0EF4A" w16cex:dateUtc="2021-09-18T16:05:00Z"/>
  <w16cex:commentExtensible w16cex:durableId="24F0EF55" w16cex:dateUtc="2021-09-1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33806" w16cid:durableId="24F0EF1E"/>
  <w16cid:commentId w16cid:paraId="0A83A5E5" w16cid:durableId="24F0EF25"/>
  <w16cid:commentId w16cid:paraId="642D8CCC" w16cid:durableId="24F0ED59"/>
  <w16cid:commentId w16cid:paraId="355739D9" w16cid:durableId="24F0ED68"/>
  <w16cid:commentId w16cid:paraId="230E6D7F" w16cid:durableId="24F0ED2A"/>
  <w16cid:commentId w16cid:paraId="47386CCA" w16cid:durableId="24F0ED37"/>
  <w16cid:commentId w16cid:paraId="7D07D423" w16cid:durableId="24F0EBFB"/>
  <w16cid:commentId w16cid:paraId="491085A0" w16cid:durableId="24F0EC09"/>
  <w16cid:commentId w16cid:paraId="2BB480F8" w16cid:durableId="24F0EFCE"/>
  <w16cid:commentId w16cid:paraId="276D545C" w16cid:durableId="24F0F01A"/>
  <w16cid:commentId w16cid:paraId="176AC0F0" w16cid:durableId="24F0EC72"/>
  <w16cid:commentId w16cid:paraId="7225BA45" w16cid:durableId="24F0EC83"/>
  <w16cid:commentId w16cid:paraId="664857D5" w16cid:durableId="24F0EDA4"/>
  <w16cid:commentId w16cid:paraId="0F9368F0" w16cid:durableId="24F0EDF2"/>
  <w16cid:commentId w16cid:paraId="72E244C7" w16cid:durableId="24F0EE31"/>
  <w16cid:commentId w16cid:paraId="709C09EC" w16cid:durableId="24F0EE3A"/>
  <w16cid:commentId w16cid:paraId="7A8917E6" w16cid:durableId="24F0ECE6"/>
  <w16cid:commentId w16cid:paraId="6904CB4B" w16cid:durableId="24F0ECF5"/>
  <w16cid:commentId w16cid:paraId="135B1C8E" w16cid:durableId="24F0EF70"/>
  <w16cid:commentId w16cid:paraId="10027357" w16cid:durableId="24F0EF9A"/>
  <w16cid:commentId w16cid:paraId="4293CDF9" w16cid:durableId="24F0EE6A"/>
  <w16cid:commentId w16cid:paraId="5DB38AAF" w16cid:durableId="24F0EE78"/>
  <w16cid:commentId w16cid:paraId="6EAEDC4F" w16cid:durableId="24F0EEBB"/>
  <w16cid:commentId w16cid:paraId="7B758470" w16cid:durableId="24F0EEC7"/>
  <w16cid:commentId w16cid:paraId="5E1948A7" w16cid:durableId="24F0EF4A"/>
  <w16cid:commentId w16cid:paraId="4A07C0F8" w16cid:durableId="24F0E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2" w15:restartNumberingAfterBreak="0">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han Baehaki">
    <w15:presenceInfo w15:providerId="Windows Live" w15:userId="30addc68a1156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compatSetting w:name="compatibilityMode" w:uri="http://schemas.microsoft.com/office/word" w:val="12"/>
    <w:compatSetting w:name="useWord2013TrackBottomHyphenation" w:uri="http://schemas.microsoft.com/office/word" w:val="1"/>
  </w:compat>
  <w:rsids>
    <w:rsidRoot w:val="00D662C1"/>
    <w:rsid w:val="00021245"/>
    <w:rsid w:val="000C5B55"/>
    <w:rsid w:val="0011651D"/>
    <w:rsid w:val="001443A4"/>
    <w:rsid w:val="00160754"/>
    <w:rsid w:val="001971CA"/>
    <w:rsid w:val="001D300B"/>
    <w:rsid w:val="001F479C"/>
    <w:rsid w:val="0022082A"/>
    <w:rsid w:val="00245E91"/>
    <w:rsid w:val="0025437E"/>
    <w:rsid w:val="00264BC0"/>
    <w:rsid w:val="002904E6"/>
    <w:rsid w:val="00291BB2"/>
    <w:rsid w:val="002F5C2C"/>
    <w:rsid w:val="00337C49"/>
    <w:rsid w:val="003F0619"/>
    <w:rsid w:val="00403166"/>
    <w:rsid w:val="0041375A"/>
    <w:rsid w:val="004223CE"/>
    <w:rsid w:val="00430439"/>
    <w:rsid w:val="004551D2"/>
    <w:rsid w:val="004764CD"/>
    <w:rsid w:val="004A00A8"/>
    <w:rsid w:val="004B075B"/>
    <w:rsid w:val="004F572F"/>
    <w:rsid w:val="005129AB"/>
    <w:rsid w:val="00527E33"/>
    <w:rsid w:val="00535B64"/>
    <w:rsid w:val="005823F2"/>
    <w:rsid w:val="005E55A9"/>
    <w:rsid w:val="005F1EB7"/>
    <w:rsid w:val="00655AB4"/>
    <w:rsid w:val="00657210"/>
    <w:rsid w:val="00686FF3"/>
    <w:rsid w:val="006C13FF"/>
    <w:rsid w:val="0076450B"/>
    <w:rsid w:val="00796AAD"/>
    <w:rsid w:val="007B78C9"/>
    <w:rsid w:val="007C0001"/>
    <w:rsid w:val="007E5C9C"/>
    <w:rsid w:val="00852D6D"/>
    <w:rsid w:val="008C4478"/>
    <w:rsid w:val="008F21D1"/>
    <w:rsid w:val="00963372"/>
    <w:rsid w:val="00972ED0"/>
    <w:rsid w:val="00973261"/>
    <w:rsid w:val="00A01C0A"/>
    <w:rsid w:val="00A66D39"/>
    <w:rsid w:val="00A853D0"/>
    <w:rsid w:val="00AA658A"/>
    <w:rsid w:val="00AC767A"/>
    <w:rsid w:val="00AE20B6"/>
    <w:rsid w:val="00BE07F5"/>
    <w:rsid w:val="00C70AD2"/>
    <w:rsid w:val="00C75386"/>
    <w:rsid w:val="00C9206D"/>
    <w:rsid w:val="00C959A6"/>
    <w:rsid w:val="00CE0E83"/>
    <w:rsid w:val="00CF4679"/>
    <w:rsid w:val="00D02115"/>
    <w:rsid w:val="00D24159"/>
    <w:rsid w:val="00D378C2"/>
    <w:rsid w:val="00D6468B"/>
    <w:rsid w:val="00D65A34"/>
    <w:rsid w:val="00D662C1"/>
    <w:rsid w:val="00D923A9"/>
    <w:rsid w:val="00DD39FE"/>
    <w:rsid w:val="00E75B53"/>
    <w:rsid w:val="00EA509A"/>
    <w:rsid w:val="00F40036"/>
    <w:rsid w:val="00F61C22"/>
    <w:rsid w:val="00F63E04"/>
    <w:rsid w:val="00F72ACC"/>
    <w:rsid w:val="00F82E63"/>
    <w:rsid w:val="00FB5A8D"/>
    <w:rsid w:val="00FE6401"/>
    <w:rsid w:val="6E312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8329D"/>
  <w15:docId w15:val="{FE4A208B-F0B5-4C7E-87E3-CB81E4A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9C"/>
    <w:pPr>
      <w:spacing w:before="240"/>
      <w:jc w:val="both"/>
    </w:pPr>
    <w:rPr>
      <w:sz w:val="24"/>
      <w:szCs w:val="24"/>
      <w:lang w:val="en-GB"/>
    </w:rPr>
  </w:style>
  <w:style w:type="paragraph" w:styleId="Heading1">
    <w:name w:val="heading 1"/>
    <w:basedOn w:val="Normal"/>
    <w:next w:val="Normal"/>
    <w:link w:val="Heading1Char"/>
    <w:uiPriority w:val="9"/>
    <w:qFormat/>
    <w:rsid w:val="007E5C9C"/>
    <w:pPr>
      <w:keepNext/>
      <w:spacing w:line="360" w:lineRule="auto"/>
      <w:outlineLvl w:val="0"/>
    </w:pPr>
    <w:rPr>
      <w:lang w:val="en-US"/>
    </w:rPr>
  </w:style>
  <w:style w:type="paragraph" w:styleId="Heading2">
    <w:name w:val="heading 2"/>
    <w:basedOn w:val="Normal"/>
    <w:next w:val="Normal"/>
    <w:link w:val="Heading2Char"/>
    <w:uiPriority w:val="9"/>
    <w:qFormat/>
    <w:rsid w:val="007E5C9C"/>
    <w:pPr>
      <w:keepNext/>
      <w:jc w:val="center"/>
      <w:outlineLvl w:val="1"/>
    </w:pPr>
    <w:rPr>
      <w:lang w:val="en-US"/>
    </w:rPr>
  </w:style>
  <w:style w:type="paragraph" w:styleId="Heading3">
    <w:name w:val="heading 3"/>
    <w:basedOn w:val="Normal"/>
    <w:next w:val="Normal"/>
    <w:link w:val="Heading3Char"/>
    <w:uiPriority w:val="9"/>
    <w:qFormat/>
    <w:rsid w:val="007E5C9C"/>
    <w:pPr>
      <w:keepNext/>
      <w:jc w:val="center"/>
      <w:outlineLvl w:val="2"/>
    </w:pPr>
    <w:rPr>
      <w:b/>
      <w:bCs/>
      <w:lang w:val="en-US"/>
    </w:rPr>
  </w:style>
  <w:style w:type="paragraph" w:styleId="Heading4">
    <w:name w:val="heading 4"/>
    <w:basedOn w:val="Normal"/>
    <w:next w:val="Normal"/>
    <w:link w:val="Heading4Char"/>
    <w:uiPriority w:val="9"/>
    <w:qFormat/>
    <w:rsid w:val="007E5C9C"/>
    <w:pPr>
      <w:keepNext/>
      <w:spacing w:line="360" w:lineRule="auto"/>
      <w:jc w:val="center"/>
      <w:outlineLvl w:val="3"/>
    </w:pPr>
    <w:rPr>
      <w:i/>
      <w:iCs/>
      <w:lang w:val="en-US"/>
    </w:rPr>
  </w:style>
  <w:style w:type="paragraph" w:styleId="Heading5">
    <w:name w:val="heading 5"/>
    <w:basedOn w:val="Normal"/>
    <w:next w:val="Normal"/>
    <w:link w:val="Heading5Char"/>
    <w:uiPriority w:val="9"/>
    <w:qFormat/>
    <w:rsid w:val="007E5C9C"/>
    <w:pPr>
      <w:keepNext/>
      <w:spacing w:line="360" w:lineRule="auto"/>
      <w:jc w:val="center"/>
      <w:outlineLvl w:val="4"/>
    </w:pPr>
    <w:rPr>
      <w:i/>
      <w:iCs/>
      <w:lang w:val="en-US"/>
    </w:rPr>
  </w:style>
  <w:style w:type="paragraph" w:styleId="Heading6">
    <w:name w:val="heading 6"/>
    <w:basedOn w:val="Normal"/>
    <w:next w:val="Normal"/>
    <w:link w:val="Heading6Char"/>
    <w:uiPriority w:val="9"/>
    <w:qFormat/>
    <w:rsid w:val="007E5C9C"/>
    <w:pPr>
      <w:keepNext/>
      <w:spacing w:before="120" w:line="480" w:lineRule="auto"/>
      <w:outlineLvl w:val="5"/>
    </w:pPr>
    <w:rPr>
      <w:b/>
      <w:bCs/>
      <w:lang w:val="en-US"/>
    </w:rPr>
  </w:style>
  <w:style w:type="paragraph" w:styleId="Heading7">
    <w:name w:val="heading 7"/>
    <w:basedOn w:val="Normal"/>
    <w:next w:val="Normal"/>
    <w:link w:val="Heading7Char"/>
    <w:uiPriority w:val="9"/>
    <w:qFormat/>
    <w:rsid w:val="007E5C9C"/>
    <w:pPr>
      <w:keepNext/>
      <w:spacing w:before="0"/>
      <w:jc w:val="left"/>
      <w:outlineLvl w:val="6"/>
    </w:pPr>
    <w:rPr>
      <w:i/>
      <w:iCs/>
      <w:sz w:val="20"/>
      <w:szCs w:val="20"/>
      <w:lang w:val="en-US" w:eastAsia="en-US"/>
    </w:rPr>
  </w:style>
  <w:style w:type="paragraph" w:styleId="Heading8">
    <w:name w:val="heading 8"/>
    <w:basedOn w:val="Normal"/>
    <w:next w:val="Normal"/>
    <w:link w:val="Heading8Char"/>
    <w:uiPriority w:val="9"/>
    <w:qFormat/>
    <w:rsid w:val="007E5C9C"/>
    <w:pPr>
      <w:spacing w:after="60"/>
      <w:outlineLvl w:val="7"/>
    </w:pPr>
    <w:rPr>
      <w:rFonts w:ascii="Arial" w:hAnsi="Arial" w:cs="Arial"/>
      <w:i/>
      <w:iCs/>
    </w:rPr>
  </w:style>
  <w:style w:type="paragraph" w:styleId="Heading9">
    <w:name w:val="heading 9"/>
    <w:basedOn w:val="Normal"/>
    <w:next w:val="Normal"/>
    <w:link w:val="Heading9Char"/>
    <w:uiPriority w:val="9"/>
    <w:qFormat/>
    <w:rsid w:val="007E5C9C"/>
    <w:pPr>
      <w:keepNext/>
      <w:spacing w:before="0"/>
      <w:jc w:val="left"/>
      <w:outlineLvl w:val="8"/>
    </w:pPr>
    <w:rPr>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5C9C"/>
    <w:rPr>
      <w:lang w:val="en-US"/>
    </w:rPr>
  </w:style>
  <w:style w:type="paragraph" w:styleId="BodyText3">
    <w:name w:val="Body Text 3"/>
    <w:basedOn w:val="Normal"/>
    <w:link w:val="BodyText3Char"/>
    <w:uiPriority w:val="99"/>
    <w:qFormat/>
    <w:rsid w:val="007E5C9C"/>
    <w:pPr>
      <w:spacing w:before="120" w:line="480" w:lineRule="auto"/>
    </w:pPr>
  </w:style>
  <w:style w:type="paragraph" w:styleId="BodyTextIndent">
    <w:name w:val="Body Text Indent"/>
    <w:basedOn w:val="Normal"/>
    <w:link w:val="BodyTextIndentChar"/>
    <w:uiPriority w:val="99"/>
    <w:rsid w:val="007E5C9C"/>
    <w:pPr>
      <w:spacing w:before="120"/>
      <w:ind w:hanging="1418"/>
    </w:pPr>
  </w:style>
  <w:style w:type="paragraph" w:styleId="BodyTextIndent2">
    <w:name w:val="Body Text Indent 2"/>
    <w:basedOn w:val="Normal"/>
    <w:link w:val="BodyTextIndent2Char"/>
    <w:uiPriority w:val="99"/>
    <w:rsid w:val="007E5C9C"/>
    <w:pPr>
      <w:tabs>
        <w:tab w:val="right" w:pos="4678"/>
      </w:tabs>
      <w:spacing w:before="0" w:line="252" w:lineRule="auto"/>
      <w:ind w:firstLine="284"/>
    </w:pPr>
    <w:rPr>
      <w:sz w:val="22"/>
      <w:szCs w:val="22"/>
    </w:rPr>
  </w:style>
  <w:style w:type="paragraph" w:styleId="BodyTextIndent3">
    <w:name w:val="Body Text Indent 3"/>
    <w:basedOn w:val="Normal"/>
    <w:link w:val="BodyTextIndent3Char"/>
    <w:uiPriority w:val="99"/>
    <w:rsid w:val="007E5C9C"/>
    <w:pPr>
      <w:spacing w:before="0" w:line="252" w:lineRule="auto"/>
      <w:ind w:firstLine="204"/>
    </w:pPr>
    <w:rPr>
      <w:sz w:val="20"/>
      <w:szCs w:val="20"/>
      <w:lang w:val="en-US" w:eastAsia="en-US"/>
    </w:rPr>
  </w:style>
  <w:style w:type="paragraph" w:styleId="Caption">
    <w:name w:val="caption"/>
    <w:basedOn w:val="Normal"/>
    <w:next w:val="Normal"/>
    <w:uiPriority w:val="35"/>
    <w:qFormat/>
    <w:rsid w:val="007E5C9C"/>
    <w:pPr>
      <w:spacing w:line="360" w:lineRule="auto"/>
      <w:jc w:val="center"/>
    </w:pPr>
    <w:rPr>
      <w:lang w:val="en-US"/>
    </w:rPr>
  </w:style>
  <w:style w:type="paragraph" w:styleId="EndnoteText">
    <w:name w:val="endnote text"/>
    <w:basedOn w:val="Normal"/>
    <w:link w:val="EndnoteTextChar"/>
    <w:uiPriority w:val="99"/>
    <w:semiHidden/>
    <w:rsid w:val="007E5C9C"/>
    <w:rPr>
      <w:rFonts w:ascii="Arial" w:hAnsi="Arial" w:cs="Arial"/>
    </w:rPr>
  </w:style>
  <w:style w:type="paragraph" w:styleId="Footer">
    <w:name w:val="footer"/>
    <w:basedOn w:val="Normal"/>
    <w:link w:val="FooterChar"/>
    <w:uiPriority w:val="99"/>
    <w:rsid w:val="007E5C9C"/>
    <w:pPr>
      <w:tabs>
        <w:tab w:val="center" w:pos="4153"/>
        <w:tab w:val="right" w:pos="8306"/>
      </w:tabs>
    </w:pPr>
  </w:style>
  <w:style w:type="paragraph" w:styleId="FootnoteText">
    <w:name w:val="footnote text"/>
    <w:basedOn w:val="Normal"/>
    <w:link w:val="FootnoteTextChar"/>
    <w:uiPriority w:val="99"/>
    <w:semiHidden/>
    <w:rsid w:val="007E5C9C"/>
    <w:pPr>
      <w:spacing w:before="60" w:after="60"/>
    </w:pPr>
  </w:style>
  <w:style w:type="paragraph" w:styleId="Header">
    <w:name w:val="header"/>
    <w:basedOn w:val="Normal"/>
    <w:link w:val="HeaderChar"/>
    <w:uiPriority w:val="99"/>
    <w:rsid w:val="007E5C9C"/>
    <w:pPr>
      <w:tabs>
        <w:tab w:val="center" w:pos="4153"/>
        <w:tab w:val="right" w:pos="8306"/>
      </w:tabs>
    </w:pPr>
  </w:style>
  <w:style w:type="paragraph" w:styleId="ListBullet">
    <w:name w:val="List Bullet"/>
    <w:basedOn w:val="Normal"/>
    <w:uiPriority w:val="99"/>
    <w:rsid w:val="007E5C9C"/>
    <w:pPr>
      <w:spacing w:before="60" w:after="60" w:line="360" w:lineRule="auto"/>
      <w:ind w:left="283" w:hanging="283"/>
    </w:pPr>
    <w:rPr>
      <w:lang w:val="en-US"/>
    </w:rPr>
  </w:style>
  <w:style w:type="paragraph" w:styleId="ListNumber">
    <w:name w:val="List Number"/>
    <w:basedOn w:val="Normal"/>
    <w:uiPriority w:val="99"/>
    <w:rsid w:val="007E5C9C"/>
    <w:pPr>
      <w:numPr>
        <w:numId w:val="1"/>
      </w:numPr>
      <w:ind w:left="360" w:hanging="360"/>
    </w:pPr>
  </w:style>
  <w:style w:type="paragraph" w:styleId="Title">
    <w:name w:val="Title"/>
    <w:basedOn w:val="Normal"/>
    <w:link w:val="TitleChar"/>
    <w:uiPriority w:val="10"/>
    <w:qFormat/>
    <w:rsid w:val="007E5C9C"/>
    <w:pPr>
      <w:suppressAutoHyphens/>
      <w:spacing w:line="480" w:lineRule="auto"/>
      <w:jc w:val="center"/>
    </w:pPr>
    <w:rPr>
      <w:b/>
      <w:bCs/>
      <w:lang w:val="en-US"/>
    </w:rPr>
  </w:style>
  <w:style w:type="character" w:styleId="Hyperlink">
    <w:name w:val="Hyperlink"/>
    <w:basedOn w:val="DefaultParagraphFont"/>
    <w:uiPriority w:val="99"/>
    <w:rsid w:val="007E5C9C"/>
    <w:rPr>
      <w:rFonts w:cs="Times New Roman"/>
      <w:color w:val="0000FF"/>
      <w:u w:val="single"/>
    </w:rPr>
  </w:style>
  <w:style w:type="character" w:styleId="PageNumber">
    <w:name w:val="page number"/>
    <w:basedOn w:val="DefaultParagraphFont"/>
    <w:uiPriority w:val="99"/>
    <w:rsid w:val="007E5C9C"/>
    <w:rPr>
      <w:rFonts w:cs="Times New Roman"/>
    </w:rPr>
  </w:style>
  <w:style w:type="character" w:customStyle="1" w:styleId="Heading2Char">
    <w:name w:val="Heading 2 Char"/>
    <w:basedOn w:val="DefaultParagraphFont"/>
    <w:link w:val="Heading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Heading3Char">
    <w:name w:val="Heading 3 Char"/>
    <w:basedOn w:val="DefaultParagraphFont"/>
    <w:link w:val="Heading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Heading7Char">
    <w:name w:val="Heading 7 Char"/>
    <w:basedOn w:val="DefaultParagraphFont"/>
    <w:link w:val="Heading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Heading8Char">
    <w:name w:val="Heading 8 Char"/>
    <w:basedOn w:val="DefaultParagraphFont"/>
    <w:link w:val="Heading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Heading9Char">
    <w:name w:val="Heading 9 Char"/>
    <w:basedOn w:val="DefaultParagraphFont"/>
    <w:link w:val="Heading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Heading1Char">
    <w:name w:val="Heading 1 Char"/>
    <w:basedOn w:val="DefaultParagraphFont"/>
    <w:link w:val="Heading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BodyText3Char">
    <w:name w:val="Body Text 3 Char"/>
    <w:basedOn w:val="DefaultParagraphFont"/>
    <w:link w:val="BodyText3"/>
    <w:uiPriority w:val="99"/>
    <w:semiHidden/>
    <w:locked/>
    <w:rsid w:val="007E5C9C"/>
    <w:rPr>
      <w:rFonts w:cs="Times New Roman"/>
      <w:sz w:val="16"/>
      <w:szCs w:val="16"/>
      <w:lang w:val="en-GB" w:eastAsia="zh-CN"/>
    </w:rPr>
  </w:style>
  <w:style w:type="character" w:customStyle="1" w:styleId="BodyTextChar">
    <w:name w:val="Body Text Char"/>
    <w:basedOn w:val="DefaultParagraphFont"/>
    <w:link w:val="BodyText"/>
    <w:uiPriority w:val="99"/>
    <w:semiHidden/>
    <w:locked/>
    <w:rsid w:val="007E5C9C"/>
    <w:rPr>
      <w:rFonts w:cs="Times New Roman"/>
      <w:sz w:val="24"/>
      <w:szCs w:val="24"/>
      <w:lang w:val="en-GB" w:eastAsia="zh-CN"/>
    </w:rPr>
  </w:style>
  <w:style w:type="character" w:customStyle="1" w:styleId="BodyTextIndentChar">
    <w:name w:val="Body Text Indent Char"/>
    <w:basedOn w:val="DefaultParagraphFont"/>
    <w:link w:val="BodyTextIndent"/>
    <w:uiPriority w:val="99"/>
    <w:semiHidden/>
    <w:locked/>
    <w:rsid w:val="007E5C9C"/>
    <w:rPr>
      <w:rFonts w:cs="Times New Roman"/>
      <w:sz w:val="24"/>
      <w:szCs w:val="24"/>
      <w:lang w:val="en-GB" w:eastAsia="zh-CN"/>
    </w:rPr>
  </w:style>
  <w:style w:type="character" w:customStyle="1" w:styleId="TitleChar">
    <w:name w:val="Title Char"/>
    <w:basedOn w:val="DefaultParagraphFont"/>
    <w:link w:val="Title"/>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FooterChar">
    <w:name w:val="Footer Char"/>
    <w:basedOn w:val="DefaultParagraphFont"/>
    <w:link w:val="Footer"/>
    <w:uiPriority w:val="99"/>
    <w:semiHidden/>
    <w:locked/>
    <w:rsid w:val="007E5C9C"/>
    <w:rPr>
      <w:rFonts w:cs="Times New Roman"/>
      <w:sz w:val="24"/>
      <w:szCs w:val="24"/>
      <w:lang w:val="en-GB" w:eastAsia="zh-CN"/>
    </w:rPr>
  </w:style>
  <w:style w:type="paragraph" w:customStyle="1" w:styleId="Figures1">
    <w:name w:val="Figures1"/>
    <w:basedOn w:val="Heading8"/>
    <w:rsid w:val="007E5C9C"/>
    <w:pPr>
      <w:keepNext/>
      <w:keepLines/>
      <w:spacing w:before="60" w:after="20"/>
      <w:jc w:val="center"/>
      <w:outlineLvl w:val="9"/>
    </w:pPr>
    <w:rPr>
      <w:rFonts w:ascii="Times New Roman" w:hAnsi="Times New Roman" w:cs="Times New Roman"/>
      <w:b/>
      <w:bCs/>
    </w:rPr>
  </w:style>
  <w:style w:type="character" w:customStyle="1" w:styleId="FootnoteTextChar">
    <w:name w:val="Footnote Text Char"/>
    <w:basedOn w:val="DefaultParagraphFont"/>
    <w:link w:val="FootnoteText"/>
    <w:uiPriority w:val="99"/>
    <w:semiHidden/>
    <w:locked/>
    <w:rsid w:val="007E5C9C"/>
    <w:rPr>
      <w:rFonts w:cs="Times New Roman"/>
      <w:lang w:val="en-GB" w:eastAsia="zh-CN"/>
    </w:rPr>
  </w:style>
  <w:style w:type="character" w:customStyle="1" w:styleId="EndnoteTextChar">
    <w:name w:val="Endnote Text Char"/>
    <w:basedOn w:val="DefaultParagraphFont"/>
    <w:link w:val="EndnoteText"/>
    <w:uiPriority w:val="99"/>
    <w:semiHidden/>
    <w:locked/>
    <w:rsid w:val="007E5C9C"/>
    <w:rPr>
      <w:rFonts w:cs="Times New Roman"/>
      <w:lang w:val="en-GB" w:eastAsia="zh-CN"/>
    </w:rPr>
  </w:style>
  <w:style w:type="character" w:customStyle="1" w:styleId="HeaderChar">
    <w:name w:val="Header Char"/>
    <w:basedOn w:val="DefaultParagraphFont"/>
    <w:link w:val="Header"/>
    <w:uiPriority w:val="99"/>
    <w:semiHidden/>
    <w:locked/>
    <w:rsid w:val="007E5C9C"/>
    <w:rPr>
      <w:rFonts w:cs="Times New Roman"/>
      <w:sz w:val="24"/>
      <w:szCs w:val="24"/>
      <w:lang w:val="en-GB" w:eastAsia="zh-CN"/>
    </w:rPr>
  </w:style>
  <w:style w:type="paragraph" w:customStyle="1" w:styleId="Text">
    <w:name w:val="Text"/>
    <w:basedOn w:val="Normal"/>
    <w:rsid w:val="007E5C9C"/>
    <w:pPr>
      <w:widowControl w:val="0"/>
      <w:spacing w:before="0" w:line="252" w:lineRule="auto"/>
      <w:ind w:firstLine="240"/>
    </w:pPr>
    <w:rPr>
      <w:sz w:val="20"/>
      <w:szCs w:val="20"/>
      <w:lang w:val="en-US" w:eastAsia="en-US"/>
    </w:rPr>
  </w:style>
  <w:style w:type="paragraph" w:customStyle="1" w:styleId="References">
    <w:name w:val="References"/>
    <w:basedOn w:val="ListNumber"/>
    <w:rsid w:val="007E5C9C"/>
    <w:pPr>
      <w:numPr>
        <w:numId w:val="2"/>
      </w:numPr>
      <w:tabs>
        <w:tab w:val="clear" w:pos="360"/>
      </w:tabs>
      <w:spacing w:before="0"/>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E5C9C"/>
    <w:rPr>
      <w:rFonts w:cs="Times New Roman"/>
      <w:sz w:val="16"/>
      <w:szCs w:val="16"/>
      <w:lang w:val="en-GB" w:eastAsia="zh-CN"/>
    </w:rPr>
  </w:style>
  <w:style w:type="character" w:customStyle="1" w:styleId="BodyTextIndent2Char">
    <w:name w:val="Body Text Indent 2 Char"/>
    <w:basedOn w:val="DefaultParagraphFont"/>
    <w:link w:val="BodyTextIndent2"/>
    <w:uiPriority w:val="99"/>
    <w:semiHidden/>
    <w:locked/>
    <w:rsid w:val="007E5C9C"/>
    <w:rPr>
      <w:rFonts w:cs="Times New Roman"/>
      <w:sz w:val="24"/>
      <w:szCs w:val="24"/>
      <w:lang w:val="en-GB" w:eastAsia="zh-CN"/>
    </w:rPr>
  </w:style>
  <w:style w:type="character" w:customStyle="1" w:styleId="cc-license-title">
    <w:name w:val="cc-license-title"/>
    <w:basedOn w:val="DefaultParagraphFont"/>
    <w:rsid w:val="00264BC0"/>
  </w:style>
  <w:style w:type="character" w:customStyle="1" w:styleId="cc-license-identifier">
    <w:name w:val="cc-license-identifier"/>
    <w:basedOn w:val="DefaultParagraphFont"/>
    <w:rsid w:val="00264BC0"/>
  </w:style>
  <w:style w:type="paragraph" w:styleId="ListParagraph">
    <w:name w:val="List Paragraph"/>
    <w:basedOn w:val="Normal"/>
    <w:uiPriority w:val="34"/>
    <w:qFormat/>
    <w:rsid w:val="00796AAD"/>
    <w:pPr>
      <w:spacing w:before="0"/>
      <w:ind w:left="720"/>
      <w:contextualSpacing/>
      <w:jc w:val="left"/>
    </w:pPr>
    <w:rPr>
      <w:rFonts w:ascii="Calibri" w:eastAsia="Calibri" w:hAnsi="Calibri"/>
      <w:sz w:val="22"/>
      <w:szCs w:val="22"/>
      <w:lang w:val="en-US" w:eastAsia="en-US"/>
    </w:rPr>
  </w:style>
  <w:style w:type="paragraph" w:styleId="PlainText">
    <w:name w:val="Plain Text"/>
    <w:basedOn w:val="Normal"/>
    <w:link w:val="PlainTextChar"/>
    <w:rsid w:val="00796AAD"/>
    <w:pPr>
      <w:autoSpaceDE w:val="0"/>
      <w:autoSpaceDN w:val="0"/>
      <w:spacing w:before="0" w:after="0" w:line="240" w:lineRule="auto"/>
      <w:jc w:val="left"/>
    </w:pPr>
    <w:rPr>
      <w:rFonts w:ascii="Courier New" w:eastAsia="SimSun" w:hAnsi="Courier New" w:cs="Courier New"/>
      <w:sz w:val="20"/>
      <w:szCs w:val="20"/>
      <w:lang w:val="en-US" w:eastAsia="en-US"/>
    </w:rPr>
  </w:style>
  <w:style w:type="character" w:customStyle="1" w:styleId="PlainTextChar">
    <w:name w:val="Plain Text Char"/>
    <w:basedOn w:val="DefaultParagraphFont"/>
    <w:link w:val="PlainText"/>
    <w:rsid w:val="00796AAD"/>
    <w:rPr>
      <w:rFonts w:ascii="Courier New" w:eastAsia="SimSun" w:hAnsi="Courier New" w:cs="Courier New"/>
      <w:lang w:val="en-US" w:eastAsia="en-US"/>
    </w:rPr>
  </w:style>
  <w:style w:type="character" w:styleId="UnresolvedMention">
    <w:name w:val="Unresolved Mention"/>
    <w:basedOn w:val="DefaultParagraphFont"/>
    <w:uiPriority w:val="99"/>
    <w:semiHidden/>
    <w:unhideWhenUsed/>
    <w:rsid w:val="00C959A6"/>
    <w:rPr>
      <w:color w:val="605E5C"/>
      <w:shd w:val="clear" w:color="auto" w:fill="E1DFDD"/>
    </w:rPr>
  </w:style>
  <w:style w:type="character" w:styleId="CommentReference">
    <w:name w:val="annotation reference"/>
    <w:basedOn w:val="DefaultParagraphFont"/>
    <w:uiPriority w:val="99"/>
    <w:semiHidden/>
    <w:unhideWhenUsed/>
    <w:rsid w:val="00686FF3"/>
    <w:rPr>
      <w:sz w:val="16"/>
      <w:szCs w:val="16"/>
    </w:rPr>
  </w:style>
  <w:style w:type="paragraph" w:styleId="CommentText">
    <w:name w:val="annotation text"/>
    <w:basedOn w:val="Normal"/>
    <w:link w:val="CommentTextChar"/>
    <w:uiPriority w:val="99"/>
    <w:semiHidden/>
    <w:unhideWhenUsed/>
    <w:rsid w:val="00686FF3"/>
    <w:pPr>
      <w:spacing w:line="240" w:lineRule="auto"/>
    </w:pPr>
    <w:rPr>
      <w:sz w:val="20"/>
      <w:szCs w:val="20"/>
    </w:rPr>
  </w:style>
  <w:style w:type="character" w:customStyle="1" w:styleId="CommentTextChar">
    <w:name w:val="Comment Text Char"/>
    <w:basedOn w:val="DefaultParagraphFont"/>
    <w:link w:val="CommentText"/>
    <w:uiPriority w:val="99"/>
    <w:semiHidden/>
    <w:rsid w:val="00686FF3"/>
    <w:rPr>
      <w:lang w:val="en-GB"/>
    </w:rPr>
  </w:style>
  <w:style w:type="paragraph" w:styleId="CommentSubject">
    <w:name w:val="annotation subject"/>
    <w:basedOn w:val="CommentText"/>
    <w:next w:val="CommentText"/>
    <w:link w:val="CommentSubjectChar"/>
    <w:uiPriority w:val="99"/>
    <w:semiHidden/>
    <w:unhideWhenUsed/>
    <w:rsid w:val="00686FF3"/>
    <w:rPr>
      <w:b/>
      <w:bCs/>
    </w:rPr>
  </w:style>
  <w:style w:type="character" w:customStyle="1" w:styleId="CommentSubjectChar">
    <w:name w:val="Comment Subject Char"/>
    <w:basedOn w:val="CommentTextChar"/>
    <w:link w:val="CommentSubject"/>
    <w:uiPriority w:val="99"/>
    <w:semiHidden/>
    <w:rsid w:val="00686FF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eb022909" TargetMode="External"/><Relationship Id="rId18" Type="http://schemas.openxmlformats.org/officeDocument/2006/relationships/hyperlink" Target="https://doi.org/10.2307/%201252074" TargetMode="External"/><Relationship Id="rId26" Type="http://schemas.openxmlformats.org/officeDocument/2006/relationships/hyperlink" Target="http://ijbel.com/wp-content/uploads/2014/06/Customers%E2%80%99-Switching-Behavior-In-Banking-Industry-Empirical-Evidence-From-Malaysia-Dr-Ramaiyer-Subramaniam-Dr-Jayalakshmy-Ramachandran.pdf" TargetMode="External"/><Relationship Id="rId3" Type="http://schemas.openxmlformats.org/officeDocument/2006/relationships/numbering" Target="numbering.xml"/><Relationship Id="rId21" Type="http://schemas.openxmlformats.org/officeDocument/2006/relationships/hyperlink" Target="https://media.neliti.com/media/%20publications/110977-ID-analisis-faktor-faktor-yang-memengaruhi.pdf" TargetMode="Externa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doi.org/10.5539/%20ijbm.v10n7p158" TargetMode="External"/><Relationship Id="rId17" Type="http://schemas.openxmlformats.org/officeDocument/2006/relationships/hyperlink" Target="https://www.eajournals.org/%20wp-content/uploads/Religion-and-Morality-in-Ghana.pdf" TargetMode="External"/><Relationship Id="rId25" Type="http://schemas.openxmlformats.org/officeDocument/2006/relationships/hyperlink" Target="https://doi.org/%2010.1108/02652320110400888"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oi.org/10.1177%2F10946705%2003255850" TargetMode="External"/><Relationship Id="rId20" Type="http://schemas.openxmlformats.org/officeDocument/2006/relationships/hyperlink" Target="http://irep.iium.edu.my/%20id/eprint/26365" TargetMode="External"/><Relationship Id="rId29" Type="http://schemas.openxmlformats.org/officeDocument/2006/relationships/hyperlink" Target="https://www.naun.org/main/NAUN/circuitssystemssignal/2020/c382005-da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2010.13106/jafeb.2021.vol8.no4.0151" TargetMode="External"/><Relationship Id="rId24" Type="http://schemas.openxmlformats.org/officeDocument/2006/relationships/hyperlink" Target="https://doi.org/10.1509%2Fjm.%2009.033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teseerx.ist.psu.edu/viewdoc/download?doi=10.1.1.868.4373&amp;rep=rep1&amp;type=pdf" TargetMode="External"/><Relationship Id="rId23" Type="http://schemas.openxmlformats.org/officeDocument/2006/relationships/hyperlink" Target="https://doi.org/10.13106/jafeb.%202021.vol8.no4.0329" TargetMode="External"/><Relationship Id="rId28" Type="http://schemas.openxmlformats.org/officeDocument/2006/relationships/hyperlink" Target="https://www/doi.org/%2010.18488/journal.73.2020.83.280.297" TargetMode="External"/><Relationship Id="rId10" Type="http://schemas.microsoft.com/office/2018/08/relationships/commentsExtensible" Target="commentsExtensible.xml"/><Relationship Id="rId19" Type="http://schemas.openxmlformats.org/officeDocument/2006/relationships/hyperlink" Target="http://dx.doi.org/%2010.20473/jmtt.v1i3.2371" TargetMode="External"/><Relationship Id="rId31" Type="http://schemas.openxmlformats.org/officeDocument/2006/relationships/hyperlink" Target="https://creativecommons.org/licenses/by/4.0/deed.en_US" TargetMode="Externa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https://doi.org/10.1177/03079450094%20225" TargetMode="External"/><Relationship Id="rId22" Type="http://schemas.openxmlformats.org/officeDocument/2006/relationships/hyperlink" Target="https://doi.org/10.13106/jafeb.2021.vol8.no3.1193" TargetMode="External"/><Relationship Id="rId27" Type="http://schemas.openxmlformats.org/officeDocument/2006/relationships/hyperlink" Target="https://www3.nd.edu/~ggoertz/sgameth/%20Drost2011.pdf" TargetMode="External"/><Relationship Id="rId30" Type="http://schemas.openxmlformats.org/officeDocument/2006/relationships/hyperlink" Target="https://www.naun.org/main/NAUN/circuitssystemssignal/2020/c182005-dap.pdf" TargetMode="Externa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12708-DE66-4CEA-A91F-F686029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IARAS</dc:creator>
  <cp:lastModifiedBy>Farhan Baehaki</cp:lastModifiedBy>
  <cp:revision>8</cp:revision>
  <cp:lastPrinted>2004-01-26T03:50:00Z</cp:lastPrinted>
  <dcterms:created xsi:type="dcterms:W3CDTF">2020-05-29T07:58:00Z</dcterms:created>
  <dcterms:modified xsi:type="dcterms:W3CDTF">2021-09-18T16:09:00Z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